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Autospacing="0" w:before="0" w:afterAutospacing="0" w:after="0"/>
        <w:ind w:end="-154"/>
        <w:jc w:val="center"/>
        <w:rPr>
          <w:rFonts w:ascii="Arial" w:hAnsi="Arial" w:cs="Arial"/>
        </w:rPr>
      </w:pPr>
      <w:r>
        <w:rPr/>
        <w:drawing>
          <wp:inline distT="0" distB="0" distL="0" distR="0">
            <wp:extent cx="2030095" cy="12439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2"/>
                    <a:stretch>
                      <a:fillRect/>
                    </a:stretch>
                  </pic:blipFill>
                  <pic:spPr bwMode="auto">
                    <a:xfrm>
                      <a:off x="0" y="0"/>
                      <a:ext cx="2030095" cy="1243965"/>
                    </a:xfrm>
                    <a:prstGeom prst="rect">
                      <a:avLst/>
                    </a:prstGeom>
                    <a:noFill/>
                  </pic:spPr>
                </pic:pic>
              </a:graphicData>
            </a:graphic>
          </wp:inline>
        </w:drawing>
      </w:r>
    </w:p>
    <w:p>
      <w:pPr>
        <w:pStyle w:val="NormalWeb"/>
        <w:spacing w:beforeAutospacing="0" w:before="0" w:afterAutospacing="0" w:after="0"/>
        <w:ind w:end="-154"/>
        <w:jc w:val="center"/>
        <w:rPr>
          <w:rFonts w:ascii="Arial" w:hAnsi="Arial" w:cs="Arial"/>
          <w:b/>
        </w:rPr>
      </w:pPr>
      <w:r>
        <w:rPr>
          <w:rFonts w:cs="Arial" w:ascii="Arial" w:hAnsi="Arial"/>
          <w:b/>
        </w:rPr>
      </w:r>
    </w:p>
    <w:p>
      <w:pPr>
        <w:pStyle w:val="NormalWeb"/>
        <w:spacing w:beforeAutospacing="0" w:before="0" w:afterAutospacing="0" w:after="0"/>
        <w:ind w:end="-154"/>
        <w:jc w:val="center"/>
        <w:rPr>
          <w:rFonts w:ascii="Arial" w:hAnsi="Arial" w:cs="Arial"/>
          <w:b/>
        </w:rPr>
      </w:pPr>
      <w:r>
        <w:rPr>
          <w:rFonts w:cs="Arial" w:ascii="Arial" w:hAnsi="Arial"/>
          <w:b/>
        </w:rPr>
        <w:t>The FAN Charity – Policies</w:t>
      </w:r>
    </w:p>
    <w:p>
      <w:pPr>
        <w:pStyle w:val="NormalWeb"/>
        <w:spacing w:beforeAutospacing="0" w:before="0" w:afterAutospacing="0" w:after="0"/>
        <w:ind w:end="-154"/>
        <w:jc w:val="center"/>
        <w:rPr>
          <w:rFonts w:ascii="Arial" w:hAnsi="Arial" w:cs="Arial"/>
          <w:b/>
        </w:rPr>
      </w:pPr>
      <w:r>
        <w:rPr>
          <w:rFonts w:cs="Arial" w:ascii="Arial" w:hAnsi="Arial"/>
          <w:b/>
        </w:rPr>
      </w:r>
    </w:p>
    <w:p>
      <w:pPr>
        <w:pStyle w:val="NormalWeb"/>
        <w:spacing w:beforeAutospacing="0" w:before="0" w:afterAutospacing="0" w:after="0"/>
        <w:ind w:end="-154"/>
        <w:jc w:val="center"/>
        <w:rPr>
          <w:rFonts w:ascii="Arial" w:hAnsi="Arial" w:cs="Arial"/>
          <w:b/>
        </w:rPr>
      </w:pPr>
      <w:r>
        <w:rPr>
          <w:rFonts w:cs="Arial" w:ascii="Arial" w:hAnsi="Arial"/>
          <w:b/>
          <w:sz w:val="28"/>
          <w:szCs w:val="28"/>
        </w:rPr>
        <w:t>Data Protection Policy and Procedures</w:t>
      </w:r>
      <w:r>
        <w:rPr>
          <w:rFonts w:cs="Arial" w:ascii="Arial" w:hAnsi="Arial"/>
          <w:b/>
        </w:rPr>
        <w:br/>
      </w:r>
    </w:p>
    <w:p>
      <w:pPr>
        <w:pStyle w:val="NormalWeb"/>
        <w:spacing w:beforeAutospacing="0" w:before="0" w:afterAutospacing="0" w:after="0"/>
        <w:ind w:end="-154"/>
        <w:jc w:val="center"/>
        <w:rPr>
          <w:rFonts w:ascii="Arial" w:hAnsi="Arial" w:cs="Arial"/>
          <w:b/>
          <w:sz w:val="28"/>
          <w:szCs w:val="28"/>
        </w:rPr>
      </w:pPr>
      <w:r>
        <w:rPr>
          <w:rFonts w:cs="Arial" w:ascii="Arial" w:hAnsi="Arial"/>
          <w:b/>
          <w:sz w:val="28"/>
          <w:szCs w:val="28"/>
        </w:rPr>
      </w:r>
    </w:p>
    <w:p>
      <w:pPr>
        <w:pStyle w:val="Normal"/>
        <w:jc w:val="both"/>
        <w:rPr>
          <w:rFonts w:ascii="Arial" w:hAnsi="Arial" w:cs="Arial"/>
          <w:b/>
        </w:rPr>
      </w:pPr>
      <w:r>
        <w:rPr>
          <w:rFonts w:cs="Arial" w:ascii="Arial" w:hAnsi="Arial"/>
          <w:b/>
        </w:rPr>
        <w:t>Introduction</w:t>
      </w:r>
    </w:p>
    <w:p>
      <w:pPr>
        <w:pStyle w:val="Normal"/>
        <w:jc w:val="both"/>
        <w:rPr>
          <w:rFonts w:ascii="Arial" w:hAnsi="Arial" w:cs="Arial"/>
          <w:b/>
        </w:rPr>
      </w:pPr>
      <w:r>
        <w:rPr>
          <w:rFonts w:cs="Arial" w:ascii="Arial" w:hAnsi="Arial"/>
          <w:b/>
        </w:rPr>
      </w:r>
    </w:p>
    <w:p>
      <w:pPr>
        <w:pStyle w:val="Normal"/>
        <w:jc w:val="both"/>
        <w:rPr>
          <w:rFonts w:ascii="Arial" w:hAnsi="Arial" w:cs="Arial"/>
          <w:b/>
        </w:rPr>
      </w:pPr>
      <w:r>
        <w:rPr>
          <w:rFonts w:cs="Arial" w:ascii="Arial" w:hAnsi="Arial"/>
          <w:b/>
        </w:rPr>
      </w:r>
    </w:p>
    <w:p>
      <w:pPr>
        <w:pStyle w:val="Normal"/>
        <w:jc w:val="both"/>
        <w:rPr>
          <w:rFonts w:ascii="Arial" w:hAnsi="Arial" w:cs="Arial"/>
        </w:rPr>
      </w:pPr>
      <w:r>
        <w:rPr>
          <w:rFonts w:cs="Arial" w:ascii="Arial" w:hAnsi="Arial"/>
        </w:rPr>
        <w:t>The FAN Charity recognises that everyone has rights with regard to the way that their personal data is handled. The FAN Charity needs to collect and use certain types of data in order to carry on our work.</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Volunteers, staff and Board of Trustees who collect, hold and use personal data on behalf of The FAN Charity will need to understand and comply with this policy.</w:t>
      </w:r>
    </w:p>
    <w:p>
      <w:pPr>
        <w:pStyle w:val="Normal"/>
        <w:jc w:val="both"/>
        <w:rPr>
          <w:rFonts w:ascii="Arial" w:hAnsi="Arial" w:cs="Arial"/>
          <w:b/>
        </w:rPr>
      </w:pPr>
      <w:r>
        <w:rPr>
          <w:rFonts w:cs="Arial" w:ascii="Arial" w:hAnsi="Arial"/>
          <w:b/>
        </w:rPr>
      </w:r>
    </w:p>
    <w:p>
      <w:pPr>
        <w:pStyle w:val="Normal"/>
        <w:jc w:val="both"/>
        <w:rPr>
          <w:rStyle w:val="main1"/>
          <w:b/>
          <w:u w:val="single"/>
        </w:rPr>
      </w:pPr>
      <w:r>
        <w:rPr>
          <w:rStyle w:val="main1"/>
          <w:b/>
        </w:rPr>
        <w:t>Purpose</w:t>
      </w:r>
      <w:r>
        <w:rPr>
          <w:rStyle w:val="main1"/>
          <w:b/>
          <w:u w:val="single"/>
        </w:rPr>
        <w:t xml:space="preserve"> </w:t>
      </w:r>
    </w:p>
    <w:p>
      <w:pPr>
        <w:pStyle w:val="Normal"/>
        <w:numPr>
          <w:ilvl w:val="0"/>
          <w:numId w:val="0"/>
        </w:numPr>
        <w:spacing w:before="240" w:after="240"/>
        <w:outlineLvl w:val="0"/>
        <w:rPr>
          <w:rStyle w:val="main1"/>
        </w:rPr>
      </w:pPr>
      <w:r>
        <w:rPr>
          <w:rStyle w:val="main1"/>
        </w:rPr>
        <w:t>The purpose of this policy is to set out the FAN Charity commitment and procedures for protecting personal data. The FAN Charity regards the lawful and correct treatment of personal information as very important for successful working, and for maintaining the confidence of those with whom we deal.</w:t>
      </w:r>
    </w:p>
    <w:p>
      <w:pPr>
        <w:pStyle w:val="ListBullet"/>
        <w:rPr/>
      </w:pPr>
      <w:r>
        <w:rPr/>
        <w:t>Definition of data protection terms.</w:t>
      </w:r>
    </w:p>
    <w:p>
      <w:pPr>
        <w:pStyle w:val="ListBullet"/>
        <w:rPr>
          <w:b w:val="false"/>
        </w:rPr>
      </w:pPr>
      <w:r>
        <w:rPr/>
        <w:t xml:space="preserve">Data </w:t>
      </w:r>
      <w:r>
        <w:rPr>
          <w:b w:val="false"/>
        </w:rPr>
        <w:t>is information which is stored electronically, on a computer or in certain paper-based filing system.</w:t>
      </w:r>
    </w:p>
    <w:p>
      <w:pPr>
        <w:pStyle w:val="Normal"/>
        <w:spacing w:before="240" w:after="240"/>
        <w:jc w:val="both"/>
        <w:rPr>
          <w:rFonts w:ascii="Arial" w:hAnsi="Arial" w:cs="Arial"/>
        </w:rPr>
      </w:pPr>
      <w:r>
        <w:rPr>
          <w:rFonts w:cs="Arial" w:ascii="Arial" w:hAnsi="Arial"/>
          <w:b/>
          <w:bCs/>
        </w:rPr>
        <w:t>Data Controller</w:t>
      </w:r>
      <w:r>
        <w:rPr>
          <w:rFonts w:cs="Arial" w:ascii="Arial" w:hAnsi="Arial"/>
        </w:rPr>
        <w:t xml:space="preserve"> – The legal ‘person’ responsible for complying with the Data Protection Act.  In our case the FAN Charity. </w:t>
      </w:r>
    </w:p>
    <w:p>
      <w:pPr>
        <w:pStyle w:val="Normal"/>
        <w:spacing w:before="240" w:after="240"/>
        <w:jc w:val="both"/>
        <w:rPr>
          <w:rFonts w:ascii="Arial" w:hAnsi="Arial" w:cs="Arial"/>
        </w:rPr>
      </w:pPr>
      <w:r>
        <w:rPr>
          <w:rFonts w:cs="Arial" w:ascii="Arial" w:hAnsi="Arial"/>
          <w:b/>
          <w:bCs/>
        </w:rPr>
        <w:t xml:space="preserve">Data Users are employees and volunteers whose work involves processing personal data.  </w:t>
      </w:r>
      <w:r>
        <w:rPr>
          <w:rFonts w:cs="Arial" w:ascii="Arial" w:hAnsi="Arial"/>
        </w:rPr>
        <w:t xml:space="preserve">Data users must protect the data they handle in accordance with the Data Protection Policy and any applicable data security procedures at all times. </w:t>
      </w:r>
    </w:p>
    <w:p>
      <w:pPr>
        <w:pStyle w:val="Normal"/>
        <w:spacing w:before="240" w:after="240"/>
        <w:jc w:val="both"/>
        <w:rPr>
          <w:rFonts w:ascii="Arial" w:hAnsi="Arial" w:cs="Arial"/>
        </w:rPr>
      </w:pPr>
      <w:r>
        <w:rPr>
          <w:rFonts w:cs="Arial" w:ascii="Arial" w:hAnsi="Arial"/>
          <w:b/>
          <w:bCs/>
        </w:rPr>
        <w:t>Data Subject</w:t>
      </w:r>
      <w:r>
        <w:rPr>
          <w:rFonts w:cs="Arial" w:ascii="Arial" w:hAnsi="Arial"/>
        </w:rPr>
        <w:t xml:space="preserve"> – The individual whose personal information is being held or processed by the FAN Charity.</w:t>
      </w:r>
    </w:p>
    <w:p>
      <w:pPr>
        <w:pStyle w:val="BodyText"/>
        <w:spacing w:before="240" w:after="240"/>
        <w:jc w:val="both"/>
        <w:rPr>
          <w:rFonts w:cs="Arial"/>
          <w:sz w:val="24"/>
        </w:rPr>
      </w:pPr>
      <w:r>
        <w:rPr>
          <w:rFonts w:cs="Arial"/>
          <w:b/>
          <w:bCs/>
          <w:sz w:val="24"/>
        </w:rPr>
        <w:t>Information Commissioner</w:t>
      </w:r>
      <w:r>
        <w:rPr>
          <w:rFonts w:cs="Arial"/>
          <w:sz w:val="24"/>
        </w:rPr>
        <w:t xml:space="preserve"> – The UK Information Commissioner is responsible for implementing and overseeing the Data Protection Act 1998.</w:t>
      </w:r>
    </w:p>
    <w:p>
      <w:pPr>
        <w:pStyle w:val="Normal"/>
        <w:spacing w:before="240" w:after="240"/>
        <w:jc w:val="both"/>
        <w:rPr>
          <w:rFonts w:ascii="Arial" w:hAnsi="Arial" w:cs="Arial"/>
          <w:b/>
          <w:bCs/>
        </w:rPr>
      </w:pPr>
      <w:r>
        <w:rPr>
          <w:rFonts w:cs="Arial" w:ascii="Arial" w:hAnsi="Arial"/>
          <w:b/>
          <w:bCs/>
        </w:rPr>
        <w:t xml:space="preserve">Processing – </w:t>
      </w:r>
      <w:r>
        <w:rPr>
          <w:rFonts w:cs="Arial" w:ascii="Arial" w:hAnsi="Arial"/>
        </w:rPr>
        <w:t>means collecting, amending, handling, storing or disclosing personal information</w:t>
      </w:r>
    </w:p>
    <w:p>
      <w:pPr>
        <w:pStyle w:val="Normal"/>
        <w:spacing w:before="240" w:after="240"/>
        <w:jc w:val="both"/>
        <w:rPr>
          <w:rFonts w:ascii="Arial" w:hAnsi="Arial" w:cs="Arial"/>
        </w:rPr>
      </w:pPr>
      <w:r>
        <w:rPr>
          <w:rFonts w:cs="Arial" w:ascii="Arial" w:hAnsi="Arial"/>
          <w:b/>
          <w:bCs/>
        </w:rPr>
        <w:t>Personal Information</w:t>
      </w:r>
      <w:r>
        <w:rPr>
          <w:rFonts w:cs="Arial" w:ascii="Arial" w:hAnsi="Arial"/>
        </w:rPr>
        <w:t xml:space="preserve"> – Information about living individuals that enables them to be identified, it can be factual (e.g. name, address, date of birth) or it can be an opinion about that person, their actions and behaviour.</w:t>
      </w:r>
    </w:p>
    <w:p>
      <w:pPr>
        <w:pStyle w:val="Normal"/>
        <w:jc w:val="both"/>
        <w:rPr>
          <w:rFonts w:ascii="Arial" w:hAnsi="Arial" w:cs="Arial"/>
          <w:b/>
        </w:rPr>
      </w:pPr>
      <w:r>
        <w:rPr>
          <w:rFonts w:cs="Arial" w:ascii="Arial" w:hAnsi="Arial"/>
          <w:b/>
        </w:rPr>
        <w:t>The Data Protection Act Legislation</w:t>
      </w:r>
    </w:p>
    <w:p>
      <w:pPr>
        <w:pStyle w:val="Normal"/>
        <w:jc w:val="both"/>
        <w:rPr>
          <w:rFonts w:ascii="Arial" w:hAnsi="Arial" w:cs="Arial"/>
          <w:b/>
        </w:rPr>
      </w:pPr>
      <w:r>
        <w:rPr>
          <w:rFonts w:cs="Arial" w:ascii="Arial" w:hAnsi="Arial"/>
          <w:b/>
        </w:rPr>
      </w:r>
    </w:p>
    <w:p>
      <w:pPr>
        <w:pStyle w:val="Normal"/>
        <w:jc w:val="both"/>
        <w:rPr>
          <w:rFonts w:ascii="Arial" w:hAnsi="Arial" w:cs="Arial"/>
        </w:rPr>
      </w:pPr>
      <w:r>
        <w:rPr>
          <w:rFonts w:cs="Arial" w:ascii="Arial" w:hAnsi="Arial"/>
        </w:rPr>
        <w:t>This</w:t>
      </w:r>
      <w:r>
        <w:rPr>
          <w:rFonts w:cs="Arial" w:ascii="Arial" w:hAnsi="Arial"/>
          <w:b/>
        </w:rPr>
        <w:t xml:space="preserve"> </w:t>
      </w:r>
      <w:r>
        <w:rPr>
          <w:rFonts w:cs="Arial" w:ascii="Arial" w:hAnsi="Arial"/>
        </w:rPr>
        <w:t>contains 8 principles for processing personal data with which FAN Charity will comply. Personal data …</w:t>
      </w:r>
    </w:p>
    <w:p>
      <w:pPr>
        <w:pStyle w:val="Normal"/>
        <w:jc w:val="both"/>
        <w:rPr>
          <w:rFonts w:ascii="Arial" w:hAnsi="Arial" w:cs="Arial"/>
        </w:rPr>
      </w:pPr>
      <w:r>
        <w:rPr>
          <w:rFonts w:cs="Arial" w:ascii="Arial" w:hAnsi="Arial"/>
        </w:rPr>
      </w:r>
    </w:p>
    <w:p>
      <w:pPr>
        <w:pStyle w:val="Normal"/>
        <w:spacing w:beforeAutospacing="1" w:afterAutospacing="1"/>
        <w:contextualSpacing/>
        <w:jc w:val="both"/>
        <w:rPr>
          <w:rFonts w:ascii="Arial" w:hAnsi="Arial" w:cs="Arial"/>
          <w:b/>
        </w:rPr>
      </w:pPr>
      <w:r>
        <w:rPr>
          <w:rFonts w:cs="Arial" w:ascii="Arial" w:hAnsi="Arial"/>
          <w:b/>
        </w:rPr>
        <w:t xml:space="preserve">1. </w:t>
      </w:r>
      <w:r>
        <w:rPr>
          <w:rFonts w:cs="Arial" w:ascii="Arial" w:hAnsi="Arial"/>
        </w:rPr>
        <w:t xml:space="preserve">Shall be processed fairly and lawfully and shall not be processed unless specific conditions are met, </w:t>
      </w:r>
    </w:p>
    <w:p>
      <w:pPr>
        <w:pStyle w:val="ColorfulList-Accent11"/>
        <w:spacing w:lineRule="auto" w:line="240" w:before="0" w:after="0"/>
        <w:ind w:start="3"/>
        <w:contextualSpacing/>
        <w:jc w:val="both"/>
        <w:rPr>
          <w:rFonts w:ascii="Arial" w:hAnsi="Arial" w:cs="Arial"/>
          <w:sz w:val="24"/>
        </w:rPr>
      </w:pPr>
      <w:r>
        <w:rPr>
          <w:rFonts w:cs="Arial" w:ascii="Arial" w:hAnsi="Arial"/>
          <w:b/>
          <w:sz w:val="24"/>
        </w:rPr>
        <w:t>2.</w:t>
      </w:r>
      <w:r>
        <w:rPr>
          <w:rFonts w:cs="Arial" w:ascii="Arial" w:hAnsi="Arial"/>
          <w:sz w:val="24"/>
        </w:rPr>
        <w:t xml:space="preserve"> Shall be obtained only for one or more of the purposes specified in the Act, and shall not be processed in any manner incompatible with that purpose or those purposes,</w:t>
      </w:r>
    </w:p>
    <w:p>
      <w:pPr>
        <w:pStyle w:val="ColorfulList-Accent11"/>
        <w:spacing w:lineRule="auto" w:line="240" w:before="0" w:after="0"/>
        <w:ind w:start="3"/>
        <w:contextualSpacing/>
        <w:jc w:val="both"/>
        <w:rPr>
          <w:rFonts w:ascii="Arial" w:hAnsi="Arial" w:eastAsia="Times New Roman" w:cs="Arial"/>
          <w:b/>
          <w:sz w:val="24"/>
          <w:szCs w:val="24"/>
        </w:rPr>
      </w:pPr>
      <w:r>
        <w:rPr>
          <w:rFonts w:eastAsia="Times New Roman" w:cs="Arial" w:ascii="Arial" w:hAnsi="Arial"/>
          <w:b/>
          <w:sz w:val="24"/>
          <w:szCs w:val="24"/>
        </w:rPr>
      </w:r>
    </w:p>
    <w:p>
      <w:pPr>
        <w:pStyle w:val="ColorfulList-Accent11"/>
        <w:spacing w:lineRule="auto" w:line="240" w:before="0" w:after="0"/>
        <w:ind w:start="3"/>
        <w:contextualSpacing/>
        <w:jc w:val="both"/>
        <w:rPr>
          <w:rFonts w:ascii="Arial" w:hAnsi="Arial" w:cs="Arial"/>
          <w:sz w:val="24"/>
        </w:rPr>
      </w:pPr>
      <w:r>
        <w:rPr>
          <w:rFonts w:cs="Arial" w:ascii="Arial" w:hAnsi="Arial"/>
          <w:b/>
          <w:sz w:val="24"/>
        </w:rPr>
        <w:t>3</w:t>
      </w:r>
      <w:r>
        <w:rPr>
          <w:rFonts w:cs="Arial" w:ascii="Arial" w:hAnsi="Arial"/>
          <w:sz w:val="24"/>
        </w:rPr>
        <w:t xml:space="preserve">. Shall be adequate, relevant and not excessive in relation to those purpose(s) </w:t>
      </w:r>
    </w:p>
    <w:p>
      <w:pPr>
        <w:pStyle w:val="ColorfulList-Accent11"/>
        <w:spacing w:lineRule="auto" w:line="240" w:beforeAutospacing="1" w:afterAutospacing="1"/>
        <w:ind w:start="3"/>
        <w:contextualSpacing/>
        <w:jc w:val="both"/>
        <w:rPr>
          <w:rFonts w:ascii="Arial" w:hAnsi="Arial" w:eastAsia="Times New Roman" w:cs="Arial"/>
          <w:b/>
          <w:sz w:val="24"/>
          <w:szCs w:val="24"/>
        </w:rPr>
      </w:pPr>
      <w:r>
        <w:rPr>
          <w:rFonts w:eastAsia="Times New Roman" w:cs="Arial" w:ascii="Arial" w:hAnsi="Arial"/>
          <w:b/>
          <w:sz w:val="24"/>
          <w:szCs w:val="24"/>
        </w:rPr>
      </w:r>
    </w:p>
    <w:p>
      <w:pPr>
        <w:pStyle w:val="ColorfulList-Accent11"/>
        <w:spacing w:lineRule="auto" w:line="240" w:beforeAutospacing="1" w:afterAutospacing="1"/>
        <w:ind w:start="3"/>
        <w:contextualSpacing/>
        <w:jc w:val="both"/>
        <w:rPr>
          <w:rFonts w:ascii="Arial" w:hAnsi="Arial" w:cs="Arial"/>
          <w:sz w:val="24"/>
        </w:rPr>
      </w:pPr>
      <w:r>
        <w:rPr>
          <w:rFonts w:cs="Arial" w:ascii="Arial" w:hAnsi="Arial"/>
          <w:b/>
          <w:sz w:val="24"/>
        </w:rPr>
        <w:t>4</w:t>
      </w:r>
      <w:r>
        <w:rPr>
          <w:rFonts w:cs="Arial" w:ascii="Arial" w:hAnsi="Arial"/>
          <w:sz w:val="24"/>
        </w:rPr>
        <w:t>. Shall be accurate and, where necessary, kept up to date,</w:t>
      </w:r>
    </w:p>
    <w:p>
      <w:pPr>
        <w:pStyle w:val="ColorfulList-Accent11"/>
        <w:spacing w:lineRule="auto" w:line="240" w:beforeAutospacing="1" w:afterAutospacing="1"/>
        <w:ind w:start="3"/>
        <w:contextualSpacing/>
        <w:jc w:val="both"/>
        <w:rPr>
          <w:rFonts w:ascii="Arial" w:hAnsi="Arial" w:eastAsia="Times New Roman" w:cs="Arial"/>
          <w:b/>
          <w:sz w:val="24"/>
          <w:szCs w:val="24"/>
        </w:rPr>
      </w:pPr>
      <w:r>
        <w:rPr>
          <w:rFonts w:eastAsia="Times New Roman" w:cs="Arial" w:ascii="Arial" w:hAnsi="Arial"/>
          <w:b/>
          <w:sz w:val="24"/>
          <w:szCs w:val="24"/>
        </w:rPr>
      </w:r>
    </w:p>
    <w:p>
      <w:pPr>
        <w:pStyle w:val="ColorfulList-Accent11"/>
        <w:spacing w:lineRule="auto" w:line="240" w:beforeAutospacing="1" w:afterAutospacing="1"/>
        <w:ind w:start="3"/>
        <w:contextualSpacing/>
        <w:jc w:val="both"/>
        <w:rPr>
          <w:rFonts w:ascii="Arial" w:hAnsi="Arial" w:cs="Arial"/>
          <w:sz w:val="24"/>
        </w:rPr>
      </w:pPr>
      <w:r>
        <w:rPr>
          <w:rFonts w:cs="Arial" w:ascii="Arial" w:hAnsi="Arial"/>
          <w:b/>
          <w:sz w:val="24"/>
        </w:rPr>
        <w:t>5</w:t>
      </w:r>
      <w:r>
        <w:rPr>
          <w:rFonts w:cs="Arial" w:ascii="Arial" w:hAnsi="Arial"/>
          <w:sz w:val="24"/>
        </w:rPr>
        <w:t xml:space="preserve">. Shall not be kept for longer than is necessary </w:t>
      </w:r>
    </w:p>
    <w:p>
      <w:pPr>
        <w:pStyle w:val="ColorfulList-Accent11"/>
        <w:spacing w:lineRule="auto" w:line="240" w:beforeAutospacing="1" w:afterAutospacing="1"/>
        <w:ind w:start="3"/>
        <w:contextualSpacing/>
        <w:jc w:val="both"/>
        <w:rPr>
          <w:rFonts w:ascii="Arial" w:hAnsi="Arial" w:eastAsia="Times New Roman" w:cs="Arial"/>
          <w:b/>
          <w:sz w:val="24"/>
          <w:szCs w:val="24"/>
        </w:rPr>
      </w:pPr>
      <w:r>
        <w:rPr>
          <w:rFonts w:eastAsia="Times New Roman" w:cs="Arial" w:ascii="Arial" w:hAnsi="Arial"/>
          <w:b/>
          <w:sz w:val="24"/>
          <w:szCs w:val="24"/>
        </w:rPr>
      </w:r>
    </w:p>
    <w:p>
      <w:pPr>
        <w:pStyle w:val="ColorfulList-Accent11"/>
        <w:spacing w:lineRule="auto" w:line="240" w:beforeAutospacing="1" w:afterAutospacing="1"/>
        <w:ind w:start="3"/>
        <w:contextualSpacing/>
        <w:jc w:val="both"/>
        <w:rPr>
          <w:rFonts w:ascii="Arial" w:hAnsi="Arial" w:cs="Arial"/>
          <w:sz w:val="24"/>
        </w:rPr>
      </w:pPr>
      <w:r>
        <w:rPr>
          <w:rFonts w:cs="Arial" w:ascii="Arial" w:hAnsi="Arial"/>
          <w:b/>
          <w:sz w:val="24"/>
        </w:rPr>
        <w:t>6.</w:t>
      </w:r>
      <w:r>
        <w:rPr>
          <w:rFonts w:cs="Arial" w:ascii="Arial" w:hAnsi="Arial"/>
          <w:sz w:val="24"/>
        </w:rPr>
        <w:t xml:space="preserve"> Shall be processed in accordance with the rights of data subjects</w:t>
      </w:r>
    </w:p>
    <w:p>
      <w:pPr>
        <w:pStyle w:val="ColorfulList-Accent11"/>
        <w:spacing w:lineRule="auto" w:line="240" w:beforeAutospacing="1" w:afterAutospacing="1"/>
        <w:ind w:start="3"/>
        <w:contextualSpacing/>
        <w:jc w:val="both"/>
        <w:rPr>
          <w:rFonts w:ascii="Arial" w:hAnsi="Arial" w:eastAsia="Times New Roman" w:cs="Arial"/>
          <w:b/>
          <w:sz w:val="24"/>
          <w:szCs w:val="24"/>
        </w:rPr>
      </w:pPr>
      <w:r>
        <w:rPr>
          <w:rFonts w:eastAsia="Times New Roman" w:cs="Arial" w:ascii="Arial" w:hAnsi="Arial"/>
          <w:b/>
          <w:sz w:val="24"/>
          <w:szCs w:val="24"/>
        </w:rPr>
      </w:r>
    </w:p>
    <w:p>
      <w:pPr>
        <w:pStyle w:val="ColorfulList-Accent11"/>
        <w:spacing w:lineRule="auto" w:line="240" w:beforeAutospacing="1" w:afterAutospacing="1"/>
        <w:ind w:start="3"/>
        <w:contextualSpacing/>
        <w:jc w:val="both"/>
        <w:rPr>
          <w:rFonts w:ascii="Arial" w:hAnsi="Arial" w:cs="Arial"/>
          <w:sz w:val="24"/>
        </w:rPr>
      </w:pPr>
      <w:r>
        <w:rPr>
          <w:rFonts w:cs="Arial" w:ascii="Arial" w:hAnsi="Arial"/>
          <w:b/>
          <w:sz w:val="24"/>
        </w:rPr>
        <w:t>7.</w:t>
      </w:r>
      <w:r>
        <w:rPr>
          <w:rFonts w:cs="Arial" w:ascii="Arial" w:hAnsi="Arial"/>
          <w:sz w:val="24"/>
        </w:rPr>
        <w:t xml:space="preserve"> Shall be kept secure</w:t>
      </w:r>
    </w:p>
    <w:p>
      <w:pPr>
        <w:pStyle w:val="ColorfulList-Accent11"/>
        <w:spacing w:lineRule="auto" w:line="240" w:beforeAutospacing="1" w:afterAutospacing="1"/>
        <w:ind w:start="3"/>
        <w:contextualSpacing/>
        <w:jc w:val="both"/>
        <w:rPr>
          <w:rFonts w:ascii="Arial" w:hAnsi="Arial" w:cs="Arial"/>
          <w:sz w:val="24"/>
        </w:rPr>
      </w:pPr>
      <w:r>
        <w:rPr>
          <w:rFonts w:cs="Arial" w:ascii="Arial" w:hAnsi="Arial"/>
          <w:sz w:val="24"/>
        </w:rPr>
      </w:r>
    </w:p>
    <w:p>
      <w:pPr>
        <w:pStyle w:val="ColorfulList-Accent11"/>
        <w:spacing w:lineRule="auto" w:line="240" w:beforeAutospacing="1" w:afterAutospacing="1"/>
        <w:ind w:start="3"/>
        <w:contextualSpacing/>
        <w:jc w:val="both"/>
        <w:rPr>
          <w:rFonts w:ascii="Arial" w:hAnsi="Arial" w:eastAsia="Times New Roman" w:cs="Arial"/>
          <w:b/>
          <w:sz w:val="24"/>
          <w:szCs w:val="24"/>
        </w:rPr>
      </w:pPr>
      <w:r>
        <w:rPr>
          <w:rFonts w:cs="Arial" w:ascii="Arial" w:hAnsi="Arial"/>
          <w:b/>
          <w:sz w:val="24"/>
        </w:rPr>
        <w:t>8.</w:t>
      </w:r>
      <w:r>
        <w:rPr>
          <w:rFonts w:cs="Arial" w:ascii="Arial" w:hAnsi="Arial"/>
          <w:sz w:val="24"/>
        </w:rPr>
        <w:t xml:space="preserve"> Shall not be transferred to a country without adequate protection </w:t>
      </w:r>
    </w:p>
    <w:p>
      <w:pPr>
        <w:pStyle w:val="Normal"/>
        <w:jc w:val="both"/>
        <w:rPr>
          <w:rFonts w:ascii="Arial" w:hAnsi="Arial" w:cs="Arial"/>
        </w:rPr>
      </w:pPr>
      <w:r>
        <w:rPr>
          <w:rFonts w:cs="Arial" w:ascii="Arial" w:hAnsi="Arial"/>
          <w:b/>
        </w:rPr>
        <w:t xml:space="preserve">NB </w:t>
      </w:r>
      <w:r>
        <w:rPr>
          <w:rFonts w:cs="Arial" w:ascii="Arial" w:hAnsi="Arial"/>
        </w:rPr>
        <w:t xml:space="preserve">Individuals have a right to have data corrected if it is wrong, to prevent use that is causing them damage or distress, or to stop marketing information being sent to them. </w:t>
      </w:r>
    </w:p>
    <w:p>
      <w:pPr>
        <w:pStyle w:val="Normal"/>
        <w:jc w:val="both"/>
        <w:rPr>
          <w:rFonts w:ascii="Arial" w:hAnsi="Arial" w:cs="Arial"/>
        </w:rPr>
      </w:pPr>
      <w:r>
        <w:rPr>
          <w:rFonts w:cs="Arial" w:ascii="Arial" w:hAnsi="Arial"/>
        </w:rPr>
      </w:r>
    </w:p>
    <w:p>
      <w:pPr>
        <w:pStyle w:val="aaa2"/>
        <w:numPr>
          <w:ilvl w:val="0"/>
          <w:numId w:val="0"/>
        </w:numPr>
        <w:outlineLvl w:val="0"/>
        <w:rPr>
          <w:rFonts w:ascii="Arial" w:hAnsi="Arial" w:cs="Arial"/>
          <w:sz w:val="24"/>
          <w:szCs w:val="24"/>
        </w:rPr>
      </w:pPr>
      <w:r>
        <w:rPr>
          <w:rFonts w:cs="Arial" w:ascii="Arial" w:hAnsi="Arial"/>
          <w:sz w:val="24"/>
          <w:szCs w:val="24"/>
        </w:rPr>
        <w:t xml:space="preserve">Consent </w:t>
      </w:r>
    </w:p>
    <w:p>
      <w:pPr>
        <w:pStyle w:val="Normal"/>
        <w:jc w:val="both"/>
        <w:rPr>
          <w:rFonts w:cs="Calibri" w:cstheme="minorHAnsi"/>
        </w:rPr>
      </w:pPr>
      <w:r>
        <w:rPr>
          <w:rFonts w:cs="Arial" w:ascii="Arial" w:hAnsi="Arial"/>
        </w:rPr>
        <w:t>Informed consent is central to the concept of Data Protection</w:t>
      </w:r>
      <w:r>
        <w:rPr>
          <w:rFonts w:cs="Calibri" w:cstheme="minorHAnsi"/>
        </w:rPr>
        <w:t>.</w:t>
      </w:r>
    </w:p>
    <w:p>
      <w:pPr>
        <w:pStyle w:val="Paragraph"/>
        <w:numPr>
          <w:ilvl w:val="0"/>
          <w:numId w:val="0"/>
        </w:numPr>
        <w:spacing w:before="240" w:after="240"/>
        <w:outlineLvl w:val="0"/>
        <w:rPr>
          <w:rFonts w:ascii="Arial" w:hAnsi="Arial" w:cs="Arial"/>
          <w:sz w:val="24"/>
        </w:rPr>
      </w:pPr>
      <w:r>
        <w:rPr>
          <w:rFonts w:cs="Arial" w:ascii="Arial" w:hAnsi="Arial"/>
          <w:bCs/>
          <w:sz w:val="24"/>
        </w:rPr>
        <w:t>Informed consent is when</w:t>
      </w:r>
    </w:p>
    <w:p>
      <w:pPr>
        <w:pStyle w:val="Paragraph"/>
        <w:numPr>
          <w:ilvl w:val="0"/>
          <w:numId w:val="10"/>
        </w:numPr>
        <w:spacing w:before="240" w:after="240"/>
        <w:rPr>
          <w:rFonts w:ascii="Arial" w:hAnsi="Arial" w:cs="Arial"/>
          <w:sz w:val="24"/>
        </w:rPr>
      </w:pPr>
      <w:r>
        <w:rPr>
          <w:rFonts w:cs="Arial" w:ascii="Arial" w:hAnsi="Arial"/>
          <w:sz w:val="24"/>
        </w:rPr>
        <w:t xml:space="preserve">A Data Subject clearly understands why their information is needed, who it will be shared with, the possible consequences of them agreeing or refusing the proposed use of the data </w:t>
      </w:r>
    </w:p>
    <w:p>
      <w:pPr>
        <w:pStyle w:val="Paragraph"/>
        <w:numPr>
          <w:ilvl w:val="0"/>
          <w:numId w:val="10"/>
        </w:numPr>
        <w:spacing w:before="240" w:after="240"/>
        <w:rPr>
          <w:rFonts w:ascii="Arial" w:hAnsi="Arial" w:cs="Arial"/>
          <w:sz w:val="24"/>
        </w:rPr>
      </w:pPr>
      <w:r>
        <w:rPr>
          <w:rFonts w:cs="Arial" w:ascii="Arial" w:hAnsi="Arial"/>
          <w:sz w:val="24"/>
        </w:rPr>
        <w:t>and then gives their consent.</w:t>
      </w:r>
    </w:p>
    <w:p>
      <w:pPr>
        <w:pStyle w:val="Paragraph"/>
        <w:spacing w:before="240" w:after="240"/>
        <w:rPr>
          <w:rFonts w:ascii="Arial" w:hAnsi="Arial" w:cs="Arial"/>
          <w:sz w:val="24"/>
        </w:rPr>
      </w:pPr>
      <w:r>
        <w:rPr>
          <w:rFonts w:cs="Arial" w:ascii="Arial" w:hAnsi="Arial"/>
          <w:sz w:val="24"/>
          <w:szCs w:val="24"/>
          <w:lang w:val="en-GB"/>
        </w:rPr>
        <w:t xml:space="preserve">FAN Charity </w:t>
      </w:r>
      <w:r>
        <w:rPr>
          <w:rFonts w:cs="Arial" w:ascii="Arial" w:hAnsi="Arial"/>
          <w:sz w:val="24"/>
        </w:rPr>
        <w:t>will ensure that data is collected within the boundaries defined in this policy. This applies to data that is collected in person, or by completing a form.</w:t>
      </w:r>
    </w:p>
    <w:p>
      <w:pPr>
        <w:pStyle w:val="Paragraph"/>
        <w:spacing w:before="240" w:after="240"/>
        <w:rPr>
          <w:rFonts w:ascii="Arial" w:hAnsi="Arial" w:cs="Arial"/>
          <w:sz w:val="24"/>
        </w:rPr>
      </w:pPr>
      <w:r>
        <w:rPr>
          <w:rFonts w:cs="Arial" w:ascii="Arial" w:hAnsi="Arial"/>
          <w:sz w:val="24"/>
        </w:rPr>
        <w:t xml:space="preserve">When collecting data, The </w:t>
      </w:r>
      <w:r>
        <w:rPr>
          <w:rFonts w:cs="Arial" w:ascii="Arial" w:hAnsi="Arial"/>
          <w:sz w:val="24"/>
          <w:szCs w:val="24"/>
          <w:lang w:val="en-GB"/>
        </w:rPr>
        <w:t xml:space="preserve">FAN Charity </w:t>
      </w:r>
      <w:r>
        <w:rPr>
          <w:rFonts w:cs="Arial" w:ascii="Arial" w:hAnsi="Arial"/>
          <w:sz w:val="24"/>
        </w:rPr>
        <w:t>will ensure that the Data Subject:</w:t>
      </w:r>
    </w:p>
    <w:p>
      <w:pPr>
        <w:pStyle w:val="Paragraph"/>
        <w:numPr>
          <w:ilvl w:val="0"/>
          <w:numId w:val="13"/>
        </w:numPr>
        <w:spacing w:before="240" w:after="240"/>
        <w:rPr>
          <w:rFonts w:ascii="Arial" w:hAnsi="Arial" w:cs="Arial"/>
          <w:sz w:val="24"/>
        </w:rPr>
      </w:pPr>
      <w:r>
        <w:rPr>
          <w:rFonts w:cs="Arial" w:ascii="Arial" w:hAnsi="Arial"/>
          <w:sz w:val="24"/>
        </w:rPr>
        <w:t>Clearly understands why the information is needed.</w:t>
      </w:r>
    </w:p>
    <w:p>
      <w:pPr>
        <w:pStyle w:val="Paragraph"/>
        <w:numPr>
          <w:ilvl w:val="0"/>
          <w:numId w:val="11"/>
        </w:numPr>
        <w:spacing w:before="240" w:after="240"/>
        <w:rPr>
          <w:rFonts w:ascii="Arial" w:hAnsi="Arial" w:cs="Arial"/>
          <w:sz w:val="24"/>
        </w:rPr>
      </w:pPr>
      <w:r>
        <w:rPr>
          <w:rFonts w:cs="Arial" w:ascii="Arial" w:hAnsi="Arial"/>
          <w:sz w:val="24"/>
        </w:rPr>
        <w:t>Understands what it will be used for and what the consequences are should the Data Subject decide not to give consent to processing</w:t>
      </w:r>
    </w:p>
    <w:p>
      <w:pPr>
        <w:pStyle w:val="Paragraph"/>
        <w:numPr>
          <w:ilvl w:val="0"/>
          <w:numId w:val="11"/>
        </w:numPr>
        <w:spacing w:before="240" w:after="240"/>
        <w:rPr>
          <w:rFonts w:ascii="Arial" w:hAnsi="Arial" w:cs="Arial"/>
          <w:sz w:val="24"/>
        </w:rPr>
      </w:pPr>
      <w:r>
        <w:rPr>
          <w:rFonts w:cs="Arial" w:ascii="Arial" w:hAnsi="Arial"/>
          <w:sz w:val="24"/>
        </w:rPr>
        <w:t>As far as reasonably possible, grants explicit consent, either written or verbal for data to be processed</w:t>
      </w:r>
    </w:p>
    <w:p>
      <w:pPr>
        <w:pStyle w:val="Paragraph"/>
        <w:numPr>
          <w:ilvl w:val="0"/>
          <w:numId w:val="11"/>
        </w:numPr>
        <w:spacing w:before="240" w:after="240"/>
        <w:rPr>
          <w:rFonts w:ascii="Arial" w:hAnsi="Arial" w:cs="Arial"/>
          <w:sz w:val="24"/>
          <w:szCs w:val="24"/>
        </w:rPr>
      </w:pPr>
      <w:r>
        <w:rPr>
          <w:rFonts w:cs="Arial" w:ascii="Arial" w:hAnsi="Arial"/>
          <w:sz w:val="24"/>
        </w:rPr>
        <w:t xml:space="preserve">Is, as far as reasonably practicable, competent enough to give consent and has given </w:t>
      </w:r>
      <w:r>
        <w:rPr>
          <w:rFonts w:cs="Arial" w:ascii="Arial" w:hAnsi="Arial"/>
          <w:sz w:val="24"/>
          <w:szCs w:val="24"/>
        </w:rPr>
        <w:t>so freely without any duress</w:t>
      </w:r>
    </w:p>
    <w:p>
      <w:pPr>
        <w:pStyle w:val="Paragraph"/>
        <w:numPr>
          <w:ilvl w:val="0"/>
          <w:numId w:val="11"/>
        </w:numPr>
        <w:spacing w:before="240" w:after="240"/>
        <w:rPr>
          <w:rFonts w:ascii="Arial" w:hAnsi="Arial" w:cs="Arial"/>
          <w:sz w:val="24"/>
          <w:szCs w:val="24"/>
          <w:u w:val="single"/>
        </w:rPr>
      </w:pPr>
      <w:r>
        <w:rPr>
          <w:rFonts w:cs="Arial" w:ascii="Arial" w:hAnsi="Arial"/>
          <w:sz w:val="24"/>
          <w:szCs w:val="24"/>
        </w:rPr>
        <w:t>Has received sufficient information on why their data is needed and how it will be used</w:t>
      </w:r>
    </w:p>
    <w:p>
      <w:pPr>
        <w:pStyle w:val="Normal"/>
        <w:numPr>
          <w:ilvl w:val="0"/>
          <w:numId w:val="0"/>
        </w:numPr>
        <w:spacing w:before="240" w:after="240"/>
        <w:jc w:val="both"/>
        <w:outlineLvl w:val="0"/>
        <w:rPr>
          <w:rStyle w:val="main1"/>
          <w:b/>
        </w:rPr>
      </w:pPr>
      <w:r>
        <w:rPr>
          <w:rStyle w:val="main1"/>
          <w:b/>
        </w:rPr>
        <w:t xml:space="preserve">Responsibilities </w:t>
      </w:r>
    </w:p>
    <w:p>
      <w:pPr>
        <w:pStyle w:val="Normal"/>
        <w:jc w:val="both"/>
        <w:rPr>
          <w:rFonts w:ascii="Arial" w:hAnsi="Arial" w:cs="Arial"/>
        </w:rPr>
      </w:pPr>
      <w:r>
        <w:rPr>
          <w:rFonts w:cs="Arial" w:ascii="Arial" w:hAnsi="Arial"/>
        </w:rPr>
        <w:t>The FAN Charity is a not-for-profit organisation and as such is not required to register under the Data Protection Act 1998.  It is however required to abide by the legislation. This policy explains how it will meet the requirements of the Data Protection Act 1998 (DPA) as modified by the requirements of the General Data Protection Regulations (GDPR) from May 2018 and amended by the Data (Use and Access) Act 2025.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The FAN Charity will remain the Data Controller for the information held. FAN Charity staff will be personally responsible for processing and using personal information in accordance with the Data Protection Act.   </w:t>
      </w:r>
    </w:p>
    <w:p>
      <w:pPr>
        <w:pStyle w:val="Normal"/>
        <w:jc w:val="both"/>
        <w:rPr>
          <w:rFonts w:ascii="Arial" w:hAnsi="Arial" w:cs="Arial"/>
        </w:rPr>
      </w:pPr>
      <w:r>
        <w:rPr>
          <w:rFonts w:cs="Arial" w:ascii="Arial" w:hAnsi="Arial"/>
        </w:rPr>
      </w:r>
    </w:p>
    <w:p>
      <w:pPr>
        <w:pStyle w:val="Normal"/>
        <w:jc w:val="both"/>
        <w:rPr>
          <w:rFonts w:ascii="Arial" w:hAnsi="Arial" w:cs="Arial"/>
          <w:b/>
        </w:rPr>
      </w:pPr>
      <w:r>
        <w:rPr>
          <w:rFonts w:cs="Arial" w:ascii="Arial" w:hAnsi="Arial"/>
          <w:b/>
        </w:rPr>
        <w:t>Applying the Data Protection Act within the FAN Charity</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Board of Trustees, staff and volunteers running the FAN Charity, who have access to personal information, will be expected to read and comply with this policy. </w:t>
      </w:r>
    </w:p>
    <w:p>
      <w:pPr>
        <w:pStyle w:val="Normal"/>
        <w:jc w:val="both"/>
        <w:rPr>
          <w:rFonts w:ascii="Arial" w:hAnsi="Arial" w:cs="Arial"/>
          <w:b/>
        </w:rPr>
      </w:pPr>
      <w:r>
        <w:rPr>
          <w:rFonts w:cs="Arial" w:ascii="Arial" w:hAnsi="Arial"/>
          <w:b/>
        </w:rPr>
      </w:r>
    </w:p>
    <w:p>
      <w:pPr>
        <w:pStyle w:val="Normal"/>
        <w:jc w:val="both"/>
        <w:rPr>
          <w:rFonts w:ascii="Arial" w:hAnsi="Arial" w:cs="Arial"/>
        </w:rPr>
      </w:pPr>
      <w:r>
        <w:rPr>
          <w:rFonts w:cs="Arial" w:ascii="Arial" w:hAnsi="Arial"/>
        </w:rPr>
        <w:t xml:space="preserve">Whilst access to personal information is limited to the staff and volunteers at the FAN Charity, the FAN Charity may undertake additional tasks which involve the collection of personal details from members of the public.  In such circumstances, we will let people know why we are collecting their data and it is our responsibility to ensure the data is only used for this specific purpose. </w:t>
      </w:r>
    </w:p>
    <w:p>
      <w:pPr>
        <w:pStyle w:val="Normal"/>
        <w:jc w:val="both"/>
        <w:rPr>
          <w:rFonts w:ascii="Arial" w:hAnsi="Arial" w:cs="Arial"/>
        </w:rPr>
      </w:pPr>
      <w:r>
        <w:rPr>
          <w:rFonts w:cs="Arial" w:ascii="Arial" w:hAnsi="Arial"/>
        </w:rPr>
      </w:r>
    </w:p>
    <w:p>
      <w:pPr>
        <w:pStyle w:val="Normal"/>
        <w:jc w:val="both"/>
        <w:rPr>
          <w:rFonts w:ascii="Arial" w:hAnsi="Arial" w:cs="Arial"/>
          <w:color w:themeColor="accent1" w:val="4472C4"/>
        </w:rPr>
      </w:pPr>
      <w:r>
        <w:rPr>
          <w:rFonts w:cs="Arial" w:ascii="Arial" w:hAnsi="Arial"/>
        </w:rPr>
        <w:t xml:space="preserve">Data users are obliged to comply with this policy when processing personal data on our behalf.  </w:t>
      </w:r>
    </w:p>
    <w:p>
      <w:pPr>
        <w:pStyle w:val="BodyText"/>
        <w:spacing w:before="240" w:after="240"/>
        <w:jc w:val="both"/>
        <w:rPr>
          <w:rStyle w:val="main1"/>
          <w:color w:val="auto"/>
        </w:rPr>
      </w:pPr>
      <w:r>
        <w:rPr>
          <w:rStyle w:val="main1"/>
          <w:color w:val="auto"/>
        </w:rPr>
        <w:t xml:space="preserve">The Board of Trustees will consider legal requirements and ensure that the policy is properly implemented, and will, through appropriate management, strict application of criteria and controls:  </w:t>
      </w:r>
    </w:p>
    <w:p>
      <w:pPr>
        <w:pStyle w:val="Paragraph"/>
        <w:numPr>
          <w:ilvl w:val="0"/>
          <w:numId w:val="2"/>
        </w:numPr>
        <w:tabs>
          <w:tab w:val="clear" w:pos="720"/>
          <w:tab w:val="left" w:pos="1080" w:leader="none"/>
        </w:tabs>
        <w:spacing w:before="240" w:after="240"/>
        <w:ind w:hanging="360" w:start="1080"/>
        <w:rPr>
          <w:rFonts w:ascii="Arial" w:hAnsi="Arial" w:cs="Arial"/>
          <w:sz w:val="24"/>
        </w:rPr>
      </w:pPr>
      <w:r>
        <w:rPr>
          <w:rStyle w:val="main1"/>
        </w:rPr>
        <w:t xml:space="preserve">Observe fully </w:t>
      </w:r>
      <w:r>
        <w:rPr>
          <w:rFonts w:cs="Arial" w:ascii="Arial" w:hAnsi="Arial"/>
          <w:sz w:val="24"/>
        </w:rPr>
        <w:t>conditions regarding the fair collection and use of information,</w:t>
      </w:r>
    </w:p>
    <w:p>
      <w:pPr>
        <w:pStyle w:val="Paragraph"/>
        <w:numPr>
          <w:ilvl w:val="0"/>
          <w:numId w:val="3"/>
        </w:numPr>
        <w:tabs>
          <w:tab w:val="clear" w:pos="720"/>
          <w:tab w:val="left" w:pos="1080" w:leader="none"/>
        </w:tabs>
        <w:spacing w:before="240" w:after="240"/>
        <w:ind w:hanging="360" w:start="1080"/>
        <w:rPr>
          <w:rFonts w:ascii="Arial" w:hAnsi="Arial" w:cs="Arial"/>
          <w:sz w:val="24"/>
        </w:rPr>
      </w:pPr>
      <w:r>
        <w:rPr>
          <w:rFonts w:cs="Arial" w:ascii="Arial" w:hAnsi="Arial"/>
          <w:sz w:val="24"/>
        </w:rPr>
        <w:t>Meet its legal obligations to specify the purposes for which information is used,</w:t>
      </w:r>
    </w:p>
    <w:p>
      <w:pPr>
        <w:pStyle w:val="Paragraph"/>
        <w:numPr>
          <w:ilvl w:val="0"/>
          <w:numId w:val="4"/>
        </w:numPr>
        <w:tabs>
          <w:tab w:val="clear" w:pos="720"/>
          <w:tab w:val="left" w:pos="1080" w:leader="none"/>
        </w:tabs>
        <w:spacing w:before="240" w:after="240"/>
        <w:ind w:hanging="360" w:start="1080"/>
        <w:rPr>
          <w:rFonts w:ascii="Arial" w:hAnsi="Arial" w:cs="Arial"/>
          <w:sz w:val="24"/>
        </w:rPr>
      </w:pPr>
      <w:r>
        <w:rPr>
          <w:rFonts w:cs="Arial" w:ascii="Arial" w:hAnsi="Arial"/>
          <w:sz w:val="24"/>
        </w:rPr>
        <w:t>Collect and process appropriate information, and only to the extent that it is needed to fulfill its operational needs or to comply with any legal requirements,</w:t>
      </w:r>
    </w:p>
    <w:p>
      <w:pPr>
        <w:pStyle w:val="Paragraph"/>
        <w:numPr>
          <w:ilvl w:val="0"/>
          <w:numId w:val="5"/>
        </w:numPr>
        <w:tabs>
          <w:tab w:val="clear" w:pos="720"/>
          <w:tab w:val="left" w:pos="1080" w:leader="none"/>
        </w:tabs>
        <w:spacing w:before="240" w:after="240"/>
        <w:ind w:hanging="360" w:start="1080"/>
        <w:jc w:val="start"/>
        <w:rPr>
          <w:rFonts w:ascii="Arial" w:hAnsi="Arial" w:cs="Arial"/>
          <w:sz w:val="24"/>
        </w:rPr>
      </w:pPr>
      <w:r>
        <w:rPr>
          <w:rFonts w:cs="Arial" w:ascii="Arial" w:hAnsi="Arial"/>
          <w:sz w:val="24"/>
        </w:rPr>
        <w:t>Ensure the quality of information used and ensuring it is accurate</w:t>
      </w:r>
    </w:p>
    <w:p>
      <w:pPr>
        <w:pStyle w:val="Paragraph"/>
        <w:numPr>
          <w:ilvl w:val="0"/>
          <w:numId w:val="6"/>
        </w:numPr>
        <w:tabs>
          <w:tab w:val="clear" w:pos="720"/>
          <w:tab w:val="left" w:pos="1080" w:leader="none"/>
        </w:tabs>
        <w:spacing w:before="240" w:after="240"/>
        <w:ind w:hanging="360" w:start="1080"/>
        <w:jc w:val="start"/>
        <w:rPr>
          <w:rFonts w:ascii="Arial" w:hAnsi="Arial" w:cs="Arial"/>
          <w:sz w:val="24"/>
        </w:rPr>
      </w:pPr>
      <w:r>
        <w:rPr>
          <w:rFonts w:cs="Arial" w:ascii="Arial" w:hAnsi="Arial"/>
          <w:sz w:val="24"/>
        </w:rPr>
        <w:t xml:space="preserve">Ensure that the rights of people about whom information is held, can be fully exercised under the Act.   These include: </w:t>
      </w:r>
    </w:p>
    <w:p>
      <w:pPr>
        <w:pStyle w:val="Paragraph"/>
        <w:numPr>
          <w:ilvl w:val="1"/>
          <w:numId w:val="6"/>
        </w:numPr>
        <w:tabs>
          <w:tab w:val="clear" w:pos="720"/>
          <w:tab w:val="left" w:pos="1800" w:leader="none"/>
        </w:tabs>
        <w:spacing w:before="240" w:after="240"/>
        <w:ind w:hanging="360" w:start="1800"/>
        <w:jc w:val="start"/>
        <w:rPr>
          <w:rFonts w:ascii="Arial" w:hAnsi="Arial" w:cs="Arial"/>
          <w:sz w:val="24"/>
        </w:rPr>
      </w:pPr>
      <w:r>
        <w:rPr>
          <w:rFonts w:cs="Arial" w:ascii="Arial" w:hAnsi="Arial"/>
          <w:sz w:val="24"/>
        </w:rPr>
        <w:t>The right to be informed that processing is being undertaken</w:t>
      </w:r>
    </w:p>
    <w:p>
      <w:pPr>
        <w:pStyle w:val="Paragraph"/>
        <w:numPr>
          <w:ilvl w:val="1"/>
          <w:numId w:val="6"/>
        </w:numPr>
        <w:tabs>
          <w:tab w:val="clear" w:pos="720"/>
          <w:tab w:val="left" w:pos="1800" w:leader="none"/>
        </w:tabs>
        <w:spacing w:before="240" w:after="240"/>
        <w:ind w:hanging="360" w:start="1800"/>
        <w:jc w:val="start"/>
        <w:rPr>
          <w:rFonts w:ascii="Arial" w:hAnsi="Arial" w:cs="Arial"/>
          <w:sz w:val="24"/>
        </w:rPr>
      </w:pPr>
      <w:r>
        <w:rPr>
          <w:rFonts w:cs="Arial" w:ascii="Arial" w:hAnsi="Arial"/>
          <w:sz w:val="24"/>
        </w:rPr>
        <w:t>The right to access one’s personal information</w:t>
      </w:r>
    </w:p>
    <w:p>
      <w:pPr>
        <w:pStyle w:val="Paragraph"/>
        <w:numPr>
          <w:ilvl w:val="1"/>
          <w:numId w:val="6"/>
        </w:numPr>
        <w:tabs>
          <w:tab w:val="clear" w:pos="720"/>
          <w:tab w:val="left" w:pos="1800" w:leader="none"/>
        </w:tabs>
        <w:spacing w:before="240" w:after="240"/>
        <w:ind w:hanging="360" w:start="1800"/>
        <w:jc w:val="start"/>
        <w:rPr>
          <w:rFonts w:ascii="Arial" w:hAnsi="Arial" w:cs="Arial"/>
          <w:sz w:val="24"/>
        </w:rPr>
      </w:pPr>
      <w:r>
        <w:rPr>
          <w:rFonts w:cs="Arial" w:ascii="Arial" w:hAnsi="Arial"/>
          <w:sz w:val="24"/>
        </w:rPr>
        <w:t xml:space="preserve">The right to prevent processing in certain circumstances and </w:t>
      </w:r>
    </w:p>
    <w:p>
      <w:pPr>
        <w:pStyle w:val="Paragraph"/>
        <w:numPr>
          <w:ilvl w:val="1"/>
          <w:numId w:val="6"/>
        </w:numPr>
        <w:tabs>
          <w:tab w:val="clear" w:pos="720"/>
          <w:tab w:val="left" w:pos="1800" w:leader="none"/>
        </w:tabs>
        <w:spacing w:before="240" w:after="240"/>
        <w:ind w:hanging="360" w:start="1800"/>
        <w:jc w:val="start"/>
        <w:rPr>
          <w:rFonts w:ascii="Arial" w:hAnsi="Arial" w:cs="Arial"/>
          <w:sz w:val="24"/>
          <w:szCs w:val="24"/>
        </w:rPr>
      </w:pPr>
      <w:r>
        <w:rPr>
          <w:rFonts w:cs="Arial" w:ascii="Arial" w:hAnsi="Arial"/>
          <w:sz w:val="24"/>
        </w:rPr>
        <w:t xml:space="preserve">The right to correct, rectify, block or erase information which is regarded as </w:t>
      </w:r>
      <w:r>
        <w:rPr>
          <w:rFonts w:cs="Arial" w:ascii="Arial" w:hAnsi="Arial"/>
          <w:sz w:val="24"/>
          <w:szCs w:val="24"/>
        </w:rPr>
        <w:t>wrong information</w:t>
      </w:r>
    </w:p>
    <w:p>
      <w:pPr>
        <w:pStyle w:val="Paragraph"/>
        <w:tabs>
          <w:tab w:val="clear" w:pos="720"/>
          <w:tab w:val="left" w:pos="1800" w:leader="none"/>
        </w:tabs>
        <w:spacing w:before="240" w:after="240"/>
        <w:jc w:val="start"/>
        <w:rPr>
          <w:rFonts w:ascii="Arial" w:hAnsi="Arial" w:cs="Arial"/>
          <w:b/>
          <w:bCs/>
          <w:sz w:val="24"/>
          <w:szCs w:val="24"/>
        </w:rPr>
      </w:pPr>
      <w:r>
        <w:rPr>
          <w:rFonts w:cs="Arial" w:ascii="Arial" w:hAnsi="Arial"/>
          <w:b/>
          <w:bCs/>
          <w:sz w:val="24"/>
          <w:szCs w:val="24"/>
        </w:rPr>
        <w:t>Practice</w:t>
      </w:r>
    </w:p>
    <w:p>
      <w:pPr>
        <w:pStyle w:val="Paragraph"/>
        <w:tabs>
          <w:tab w:val="clear" w:pos="720"/>
          <w:tab w:val="left" w:pos="1800" w:leader="none"/>
        </w:tabs>
        <w:spacing w:before="240" w:after="240"/>
        <w:jc w:val="start"/>
        <w:rPr>
          <w:rFonts w:ascii="Arial" w:hAnsi="Arial" w:cs="Arial"/>
          <w:sz w:val="24"/>
          <w:szCs w:val="24"/>
        </w:rPr>
      </w:pPr>
      <w:r>
        <w:rPr>
          <w:rFonts w:cs="Arial" w:ascii="Arial" w:hAnsi="Arial"/>
          <w:sz w:val="24"/>
          <w:szCs w:val="24"/>
        </w:rPr>
        <w:t>Data users will:</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Take appropriate technical and organisational security measures to safeguard personal information including a secure lockable HR file.</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Hold Databases of e.g. Trustees, Facilitators, and Members to be held on password-protected computers.</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 xml:space="preserve">FAN does not collect data on protected characteristics and any data shared for reporting purposes is anonymised. </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 xml:space="preserve">Ensure all data </w:t>
      </w:r>
      <w:r>
        <w:rPr>
          <w:rFonts w:cs="Arial" w:ascii="Arial" w:hAnsi="Arial"/>
          <w:color w:themeColor="text1" w:val="000000"/>
          <w:sz w:val="24"/>
          <w:szCs w:val="24"/>
        </w:rPr>
        <w:t xml:space="preserve">is </w:t>
      </w:r>
      <w:r>
        <w:rPr>
          <w:rFonts w:cs="Arial" w:ascii="Arial" w:hAnsi="Arial"/>
          <w:sz w:val="24"/>
          <w:szCs w:val="24"/>
        </w:rPr>
        <w:t>given voluntarily with information regarding the lawful basis on which the data collected explicitly stated at the time of collection. This information also confirms the FAN Charity as the relevant Data Controller. A document specific to all likely groups from whom FAN may collect personal data accompanies this policy: Trustees, Members, Facilitators, requests by other organisations or individuals who want to be kept up to date.  For all personal data collected by FAN, the lawful basis for collection is ‘the legitimate interest’ with implied consent to receive information about events (which constitutes their interest in the work of FAN).</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All Group emails must be sent blind copied from password-protected machines.</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 xml:space="preserve">Text messages (SMS) giving information about FAN can be sent as  group messages as no individual information is shared by messaging in this way. </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 xml:space="preserve">WhatsApp groups must not be used as this shares personal information.  Individual WhatsApp messages can be sent. </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 xml:space="preserve">Indicate that a recipient can opt out of emails by putting STOP in the subject line on all marketing or information emails. </w:t>
      </w:r>
    </w:p>
    <w:p>
      <w:pPr>
        <w:pStyle w:val="Paragraph"/>
        <w:numPr>
          <w:ilvl w:val="0"/>
          <w:numId w:val="7"/>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The DPA states that Subject Data should not be kept longer than is necessary.  Staff are required to regularly review and clean data they hold.  Data is removed when requested to do so.   Disposal of equipment and papers – machines are wiped and documents shredded.</w:t>
      </w:r>
    </w:p>
    <w:p>
      <w:pPr>
        <w:pStyle w:val="Paragraph"/>
        <w:numPr>
          <w:ilvl w:val="0"/>
          <w:numId w:val="8"/>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Ensure that personal information is not transferred abroad without suitable safeguards,</w:t>
      </w:r>
    </w:p>
    <w:p>
      <w:pPr>
        <w:pStyle w:val="Paragraph"/>
        <w:numPr>
          <w:ilvl w:val="0"/>
          <w:numId w:val="8"/>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 xml:space="preserve">Ensure similar good practice is adopted by local Facilitators holding lists.  Good practice guidelines are included in Facilitator Training, discussed in Facilitator Get Togethers, specific GDPR instruction  and annual reminders are sent stating good practice. </w:t>
      </w:r>
    </w:p>
    <w:p>
      <w:pPr>
        <w:pStyle w:val="Paragraph"/>
        <w:numPr>
          <w:ilvl w:val="0"/>
          <w:numId w:val="8"/>
        </w:numPr>
        <w:tabs>
          <w:tab w:val="clear" w:pos="720"/>
          <w:tab w:val="left" w:pos="1080" w:leader="none"/>
        </w:tabs>
        <w:spacing w:before="240" w:after="240"/>
        <w:ind w:hanging="360" w:start="1080"/>
        <w:jc w:val="start"/>
        <w:rPr>
          <w:rFonts w:ascii="Arial" w:hAnsi="Arial" w:cs="Arial"/>
          <w:sz w:val="24"/>
          <w:szCs w:val="24"/>
        </w:rPr>
      </w:pPr>
      <w:r>
        <w:rPr>
          <w:rFonts w:cs="Arial" w:ascii="Arial" w:hAnsi="Arial"/>
          <w:sz w:val="24"/>
          <w:szCs w:val="24"/>
        </w:rPr>
        <w:t>Information is provided for new FAN participants outlining why they may want to provide Facilitators with basic personal information so that they can be kept informed about FAN matters</w:t>
      </w:r>
    </w:p>
    <w:p>
      <w:pPr>
        <w:pStyle w:val="Normal"/>
        <w:numPr>
          <w:ilvl w:val="0"/>
          <w:numId w:val="9"/>
        </w:numPr>
        <w:tabs>
          <w:tab w:val="clear" w:pos="720"/>
          <w:tab w:val="left" w:pos="1080" w:leader="none"/>
        </w:tabs>
        <w:spacing w:before="240" w:after="240"/>
        <w:ind w:hanging="360" w:start="1080"/>
        <w:rPr>
          <w:rFonts w:ascii="Arial" w:hAnsi="Arial" w:cs="Arial"/>
        </w:rPr>
      </w:pPr>
      <w:r>
        <w:rPr>
          <w:rFonts w:cs="Arial" w:ascii="Arial" w:hAnsi="Arial"/>
        </w:rPr>
        <w:t>Treat people justly and fairly whatever their age, religion, disability, gender, sexual orientation or ethnicity when dealing with requests for information</w:t>
      </w:r>
    </w:p>
    <w:p>
      <w:pPr>
        <w:pStyle w:val="Normal"/>
        <w:numPr>
          <w:ilvl w:val="0"/>
          <w:numId w:val="9"/>
        </w:numPr>
        <w:tabs>
          <w:tab w:val="clear" w:pos="720"/>
          <w:tab w:val="left" w:pos="1080" w:leader="none"/>
        </w:tabs>
        <w:spacing w:before="240" w:after="240"/>
        <w:ind w:hanging="360" w:start="1080"/>
        <w:rPr>
          <w:rFonts w:ascii="Arial" w:hAnsi="Arial" w:cs="Arial"/>
        </w:rPr>
      </w:pPr>
      <w:r>
        <w:rPr>
          <w:rFonts w:cs="Arial" w:ascii="Arial" w:hAnsi="Arial"/>
        </w:rPr>
        <w:t xml:space="preserve">Data Subject Access Requests: the procedure for responding is: They should be in writing (letter or email) or by phone call, and all staff should pass the request on to the Board of Trustees without delay.  The identity of the requester should be verified, no charge will be made, and it should be done in one month. </w:t>
      </w:r>
    </w:p>
    <w:p>
      <w:pPr>
        <w:pStyle w:val="Normal"/>
        <w:jc w:val="both"/>
        <w:rPr>
          <w:rFonts w:ascii="Arial" w:hAnsi="Arial" w:cs="Arial"/>
        </w:rPr>
      </w:pPr>
      <w:r>
        <w:rPr>
          <w:rFonts w:cs="Arial" w:ascii="Arial" w:hAnsi="Arial"/>
        </w:rPr>
        <w:t xml:space="preserve">Members of the public may request certain information from a Local Authority under the </w:t>
      </w:r>
      <w:r>
        <w:rPr>
          <w:rFonts w:cs="Arial" w:ascii="Arial" w:hAnsi="Arial"/>
          <w:i/>
        </w:rPr>
        <w:t>Freedom of Information Act 2000</w:t>
      </w:r>
      <w:r>
        <w:rPr>
          <w:rFonts w:cs="Arial" w:ascii="Arial" w:hAnsi="Arial"/>
        </w:rPr>
        <w:t>. The Act does not apply to the FAN Charity. However, if at any time we undertake the delivery of services under contracts with the Local Authority we may be required to assist them to meet the Freedom of Information Act request where we hold information on their behalf.</w:t>
      </w:r>
    </w:p>
    <w:p>
      <w:pPr>
        <w:pStyle w:val="Normal"/>
        <w:numPr>
          <w:ilvl w:val="0"/>
          <w:numId w:val="0"/>
        </w:numPr>
        <w:spacing w:before="240" w:after="240"/>
        <w:outlineLvl w:val="0"/>
        <w:rPr>
          <w:rStyle w:val="main1"/>
          <w:color w:val="auto"/>
        </w:rPr>
      </w:pPr>
      <w:r>
        <w:rPr>
          <w:rStyle w:val="main1"/>
          <w:color w:val="auto"/>
        </w:rPr>
        <w:t>The Board of Trustees will be responsible for ensuring that the policy is implemented and will have overall responsibility for:</w:t>
      </w:r>
    </w:p>
    <w:p>
      <w:pPr>
        <w:pStyle w:val="ListBullet"/>
        <w:numPr>
          <w:ilvl w:val="0"/>
          <w:numId w:val="12"/>
        </w:numPr>
        <w:rPr>
          <w:b w:val="false"/>
        </w:rPr>
      </w:pPr>
      <w:r>
        <w:rPr>
          <w:b w:val="false"/>
        </w:rPr>
        <w:t>Ensuring everyone processing personal information understands that they are contractually responsible for following good data protection practice</w:t>
      </w:r>
    </w:p>
    <w:p>
      <w:pPr>
        <w:pStyle w:val="ListBullet"/>
        <w:numPr>
          <w:ilvl w:val="0"/>
          <w:numId w:val="12"/>
        </w:numPr>
        <w:rPr>
          <w:b w:val="false"/>
        </w:rPr>
      </w:pPr>
      <w:r>
        <w:rPr>
          <w:b w:val="false"/>
        </w:rPr>
        <w:t>Ensuring everyone processing personal information is appropriately trained to do so</w:t>
      </w:r>
    </w:p>
    <w:p>
      <w:pPr>
        <w:pStyle w:val="ListBullet"/>
        <w:numPr>
          <w:ilvl w:val="0"/>
          <w:numId w:val="12"/>
        </w:numPr>
        <w:rPr>
          <w:b w:val="false"/>
        </w:rPr>
      </w:pPr>
      <w:r>
        <w:rPr>
          <w:b w:val="false"/>
        </w:rPr>
        <w:t>Ensuring everyone processing personal information is appropriately informed regarding correct procedure</w:t>
      </w:r>
    </w:p>
    <w:p>
      <w:pPr>
        <w:pStyle w:val="ListBullet"/>
        <w:numPr>
          <w:ilvl w:val="0"/>
          <w:numId w:val="12"/>
        </w:numPr>
        <w:rPr>
          <w:b w:val="false"/>
        </w:rPr>
      </w:pPr>
      <w:r>
        <w:rPr>
          <w:b w:val="false"/>
        </w:rPr>
        <w:t>Ensuring anybody wanting to make enquiries about handling personal information knows what to do</w:t>
      </w:r>
    </w:p>
    <w:p>
      <w:pPr>
        <w:pStyle w:val="ListBullet"/>
        <w:numPr>
          <w:ilvl w:val="0"/>
          <w:numId w:val="12"/>
        </w:numPr>
        <w:rPr>
          <w:b w:val="false"/>
        </w:rPr>
      </w:pPr>
      <w:r>
        <w:rPr>
          <w:b w:val="false"/>
        </w:rPr>
        <w:t>Dealing promptly and courteously with any enquiries about handling personal information</w:t>
      </w:r>
    </w:p>
    <w:p>
      <w:pPr>
        <w:pStyle w:val="ListBullet"/>
        <w:numPr>
          <w:ilvl w:val="0"/>
          <w:numId w:val="12"/>
        </w:numPr>
        <w:rPr>
          <w:b w:val="false"/>
        </w:rPr>
      </w:pPr>
      <w:r>
        <w:rPr>
          <w:b w:val="false"/>
        </w:rPr>
        <w:t xml:space="preserve">Describing clearly how it handles personal information ‘subject access request’ </w:t>
      </w:r>
    </w:p>
    <w:p>
      <w:pPr>
        <w:pStyle w:val="ListBullet"/>
        <w:numPr>
          <w:ilvl w:val="0"/>
          <w:numId w:val="12"/>
        </w:numPr>
        <w:rPr>
          <w:b w:val="false"/>
        </w:rPr>
      </w:pPr>
      <w:r>
        <w:rPr>
          <w:b w:val="false"/>
        </w:rPr>
        <w:t xml:space="preserve">Regularly reviewing and audit the ways it holds, manages and uses personal information this needs to be built into Trustee agendas </w:t>
      </w:r>
    </w:p>
    <w:p>
      <w:pPr>
        <w:pStyle w:val="ListBullet"/>
        <w:numPr>
          <w:ilvl w:val="0"/>
          <w:numId w:val="12"/>
        </w:numPr>
        <w:rPr>
          <w:b w:val="false"/>
        </w:rPr>
      </w:pPr>
      <w:r>
        <w:rPr>
          <w:b w:val="false"/>
        </w:rPr>
        <w:t>All staff and volunteers are aware that a breach of the rules and procedures identified in this policy may lead to action being taken against them</w:t>
      </w:r>
    </w:p>
    <w:p>
      <w:pPr>
        <w:pStyle w:val="Normal"/>
        <w:numPr>
          <w:ilvl w:val="0"/>
          <w:numId w:val="12"/>
        </w:numPr>
        <w:spacing w:lineRule="auto" w:line="276" w:before="240" w:after="240"/>
        <w:rPr>
          <w:rFonts w:ascii="Arial" w:hAnsi="Arial" w:cs="Arial"/>
        </w:rPr>
      </w:pPr>
      <w:r>
        <w:rPr>
          <w:rFonts w:cs="Arial" w:ascii="Arial" w:hAnsi="Arial"/>
        </w:rPr>
        <w:t>Information will be stored for only as long as it is relevant to FAN activities and will be disposed of appropriately. It will not be stored as a ‘just in case’ basis.</w:t>
      </w:r>
    </w:p>
    <w:p>
      <w:pPr>
        <w:pStyle w:val="Normal"/>
        <w:spacing w:before="240" w:after="240"/>
        <w:rPr>
          <w:rFonts w:ascii="Arial" w:hAnsi="Arial" w:cs="Arial"/>
          <w:b/>
        </w:rPr>
      </w:pPr>
      <w:r>
        <w:rPr>
          <w:rFonts w:cs="Arial" w:ascii="Arial" w:hAnsi="Arial"/>
          <w:b/>
        </w:rPr>
        <w:t>Complaints</w:t>
      </w:r>
    </w:p>
    <w:p>
      <w:pPr>
        <w:pStyle w:val="NormalWeb"/>
        <w:spacing w:before="280" w:after="280"/>
        <w:rPr>
          <w:rStyle w:val="Emphasis"/>
          <w:rFonts w:ascii="Arial" w:hAnsi="Arial" w:cs="Arial"/>
          <w:i w:val="false"/>
        </w:rPr>
      </w:pPr>
      <w:r>
        <w:rPr>
          <w:rStyle w:val="Emphasis"/>
          <w:rFonts w:cs="Arial" w:ascii="Arial" w:hAnsi="Arial"/>
        </w:rPr>
        <w:t xml:space="preserve">Anyone wishing to raise a complaint on how the FAN Charity has handled his or her personal data can contact the Charity to have the matter investigated. Phone 07880-630553 or email </w:t>
      </w:r>
      <w:hyperlink r:id="rId3">
        <w:r>
          <w:rPr>
            <w:rStyle w:val="Hyperlink"/>
            <w:rFonts w:cs="Arial" w:ascii="Arial" w:hAnsi="Arial"/>
          </w:rPr>
          <w:t>dataprotection@thefancharity.org</w:t>
        </w:r>
      </w:hyperlink>
      <w:r>
        <w:rPr>
          <w:rStyle w:val="Emphasis"/>
          <w:rFonts w:cs="Arial" w:ascii="Arial" w:hAnsi="Arial"/>
        </w:rPr>
        <w:t xml:space="preserve"> </w:t>
      </w:r>
    </w:p>
    <w:p>
      <w:pPr>
        <w:pStyle w:val="NormalWeb"/>
        <w:spacing w:before="280" w:after="280"/>
        <w:rPr>
          <w:rFonts w:ascii="Arial" w:hAnsi="Arial" w:cs="Arial"/>
          <w:b/>
          <w:i/>
          <w:color w:val="0000FF"/>
        </w:rPr>
      </w:pPr>
      <w:r>
        <w:rPr>
          <w:rStyle w:val="Emphasis"/>
          <w:rFonts w:cs="Arial" w:ascii="Arial" w:hAnsi="Arial"/>
        </w:rPr>
        <w:t xml:space="preserve">If the complainant is not satisfied with the response or believes the FAN Charity has not processed their personal data in accordance with the law, they can complain to the Information Commissioner’s Office </w:t>
      </w:r>
      <w:hyperlink r:id="rId4" w:tgtFrame="_blank">
        <w:r>
          <w:rPr>
            <w:rStyle w:val="Hyperlink"/>
            <w:rFonts w:eastAsia="游ゴシック Light" w:cs="Arial" w:ascii="Arial" w:hAnsi="Arial" w:eastAsiaTheme="majorEastAsia"/>
          </w:rPr>
          <w:t>https://ico.org.uk/</w:t>
        </w:r>
      </w:hyperlink>
    </w:p>
    <w:p>
      <w:pPr>
        <w:pStyle w:val="Normal"/>
        <w:spacing w:before="240" w:after="240"/>
        <w:rPr>
          <w:rFonts w:ascii="Arial" w:hAnsi="Arial" w:cs="Arial"/>
          <w:b/>
        </w:rPr>
      </w:pPr>
      <w:r>
        <w:rPr>
          <w:rFonts w:cs="Arial" w:ascii="Arial" w:hAnsi="Arial"/>
          <w:b/>
        </w:rPr>
        <w:t>Breach Reporting</w:t>
      </w:r>
    </w:p>
    <w:p>
      <w:pPr>
        <w:pStyle w:val="Normal"/>
        <w:spacing w:before="240" w:after="240"/>
        <w:rPr>
          <w:rFonts w:ascii="Arial" w:hAnsi="Arial" w:cs="Arial"/>
        </w:rPr>
      </w:pPr>
      <w:r>
        <w:rPr>
          <w:rFonts w:cs="Arial" w:ascii="Arial" w:hAnsi="Arial"/>
        </w:rPr>
        <w:t>The FAN Charity records are monitored regularly by the relevant Trustee. Any breaches of these Data Protection requirements are recorded, available for inspection and disclosed to the Board of Trustees.</w:t>
      </w:r>
    </w:p>
    <w:p>
      <w:pPr>
        <w:pStyle w:val="BodyText"/>
        <w:spacing w:before="240" w:after="240"/>
        <w:rPr>
          <w:sz w:val="24"/>
          <w:szCs w:val="22"/>
        </w:rPr>
      </w:pPr>
      <w:r>
        <w:rPr>
          <w:sz w:val="24"/>
          <w:szCs w:val="22"/>
        </w:rPr>
        <w:t>This policy will be updated as necessary to reflect best practice in data management, security and control and to ensure compliance with any changes or amendments made to the Data Protection Act 1998.</w:t>
      </w:r>
    </w:p>
    <w:p>
      <w:pPr>
        <w:pStyle w:val="BodyText"/>
        <w:spacing w:before="240" w:after="240"/>
        <w:rPr>
          <w:rFonts w:cs="Arial"/>
          <w:b/>
          <w:bCs/>
          <w:sz w:val="24"/>
        </w:rPr>
      </w:pPr>
      <w:r>
        <w:rPr>
          <w:sz w:val="24"/>
        </w:rPr>
        <w:t xml:space="preserve">In case of any queries or questions in relation to this policy please contact the FAN Charity  </w:t>
      </w:r>
      <w:hyperlink r:id="rId5">
        <w:r>
          <w:rPr>
            <w:rStyle w:val="Hyperlink"/>
            <w:sz w:val="24"/>
          </w:rPr>
          <w:t>dataprotection@thefancharity.org</w:t>
        </w:r>
      </w:hyperlink>
      <w:r>
        <w:rPr>
          <w:sz w:val="24"/>
        </w:rPr>
        <w:t xml:space="preserve"> </w:t>
      </w:r>
    </w:p>
    <w:p>
      <w:pPr>
        <w:pStyle w:val="BodyText"/>
        <w:numPr>
          <w:ilvl w:val="0"/>
          <w:numId w:val="0"/>
        </w:numPr>
        <w:spacing w:before="240" w:after="240"/>
        <w:jc w:val="both"/>
        <w:outlineLvl w:val="0"/>
        <w:rPr>
          <w:rFonts w:cs="Arial"/>
          <w:b/>
          <w:bCs/>
          <w:sz w:val="24"/>
        </w:rPr>
      </w:pPr>
      <w:r>
        <w:rPr>
          <w:rFonts w:cs="Arial"/>
          <w:b/>
          <w:bCs/>
          <w:sz w:val="24"/>
        </w:rPr>
        <w:t>Disclosure</w:t>
      </w:r>
    </w:p>
    <w:p>
      <w:pPr>
        <w:pStyle w:val="Paragraph"/>
        <w:spacing w:before="240" w:after="240"/>
        <w:rPr>
          <w:rFonts w:ascii="Arial" w:hAnsi="Arial" w:cs="Arial"/>
          <w:color w:val="000000"/>
          <w:sz w:val="24"/>
        </w:rPr>
      </w:pPr>
      <w:r>
        <w:rPr>
          <w:rFonts w:cs="Arial" w:ascii="Arial" w:hAnsi="Arial"/>
          <w:sz w:val="24"/>
          <w:szCs w:val="24"/>
          <w:lang w:val="en-GB"/>
        </w:rPr>
        <w:t xml:space="preserve">The FAN Charity </w:t>
      </w:r>
      <w:r>
        <w:rPr>
          <w:rFonts w:cs="Arial" w:ascii="Arial" w:hAnsi="Arial"/>
          <w:color w:val="000000"/>
          <w:sz w:val="24"/>
        </w:rPr>
        <w:t>may be required to share data with other authorities or agencies such as</w:t>
      </w:r>
      <w:r>
        <w:rPr>
          <w:rFonts w:cs="Arial" w:ascii="Arial" w:hAnsi="Arial"/>
          <w:b/>
          <w:bCs/>
          <w:color w:val="000000"/>
          <w:sz w:val="24"/>
        </w:rPr>
        <w:t xml:space="preserve"> </w:t>
      </w:r>
      <w:r>
        <w:rPr>
          <w:rFonts w:cs="Arial" w:ascii="Arial" w:hAnsi="Arial"/>
          <w:color w:val="000000"/>
          <w:sz w:val="24"/>
        </w:rPr>
        <w:t>the local authority, funding bodies and other voluntary agencies.</w:t>
      </w:r>
    </w:p>
    <w:p>
      <w:pPr>
        <w:pStyle w:val="Paragraph"/>
        <w:spacing w:before="240" w:after="240"/>
        <w:rPr>
          <w:rFonts w:ascii="Arial" w:hAnsi="Arial" w:cs="Arial"/>
          <w:sz w:val="24"/>
        </w:rPr>
      </w:pPr>
      <w:r>
        <w:rPr>
          <w:rFonts w:cs="Arial" w:ascii="Arial" w:hAnsi="Arial"/>
          <w:sz w:val="24"/>
        </w:rPr>
        <w:t xml:space="preserve">The Data Subject will be made aware in most circumstances how and with whom their information will be shared.  There are circumstances where the law allows FAN Charity to disclose data (including sensitive data) without the data subject’s consent.   </w:t>
      </w:r>
    </w:p>
    <w:p>
      <w:pPr>
        <w:pStyle w:val="Paragraph"/>
        <w:spacing w:before="240" w:after="240"/>
        <w:rPr>
          <w:rFonts w:ascii="Arial" w:hAnsi="Arial" w:cs="Arial"/>
          <w:sz w:val="24"/>
        </w:rPr>
      </w:pPr>
      <w:r>
        <w:rPr>
          <w:rFonts w:cs="Arial" w:ascii="Arial" w:hAnsi="Arial"/>
          <w:sz w:val="24"/>
        </w:rPr>
        <w:t>These are:</w:t>
      </w:r>
    </w:p>
    <w:p>
      <w:pPr>
        <w:pStyle w:val="Normal"/>
        <w:numPr>
          <w:ilvl w:val="0"/>
          <w:numId w:val="1"/>
        </w:numPr>
        <w:spacing w:before="240" w:after="240"/>
        <w:rPr>
          <w:rFonts w:ascii="Arial" w:hAnsi="Arial" w:cs="Arial"/>
        </w:rPr>
      </w:pPr>
      <w:r>
        <w:rPr>
          <w:rFonts w:cs="Arial" w:ascii="Arial" w:hAnsi="Arial"/>
        </w:rPr>
        <w:t xml:space="preserve">Carrying out a legal duty or as authorised by the Secretary of State </w:t>
      </w:r>
    </w:p>
    <w:p>
      <w:pPr>
        <w:pStyle w:val="Normal"/>
        <w:numPr>
          <w:ilvl w:val="0"/>
          <w:numId w:val="1"/>
        </w:numPr>
        <w:spacing w:before="240" w:after="240"/>
        <w:rPr>
          <w:rFonts w:ascii="Arial" w:hAnsi="Arial" w:cs="Arial"/>
        </w:rPr>
      </w:pPr>
      <w:r>
        <w:rPr>
          <w:rFonts w:cs="Arial" w:ascii="Arial" w:hAnsi="Arial"/>
        </w:rPr>
        <w:t>Protecting vital interests of a Data Subject or other person</w:t>
      </w:r>
    </w:p>
    <w:p>
      <w:pPr>
        <w:pStyle w:val="Normal"/>
        <w:numPr>
          <w:ilvl w:val="0"/>
          <w:numId w:val="1"/>
        </w:numPr>
        <w:spacing w:before="240" w:after="240"/>
        <w:rPr>
          <w:rFonts w:ascii="Arial" w:hAnsi="Arial" w:cs="Arial"/>
        </w:rPr>
      </w:pPr>
      <w:r>
        <w:rPr>
          <w:rFonts w:cs="Arial" w:ascii="Arial" w:hAnsi="Arial"/>
        </w:rPr>
        <w:t>The Data Subject has already made the information public</w:t>
      </w:r>
    </w:p>
    <w:p>
      <w:pPr>
        <w:pStyle w:val="Normal"/>
        <w:numPr>
          <w:ilvl w:val="0"/>
          <w:numId w:val="1"/>
        </w:numPr>
        <w:spacing w:before="240" w:after="240"/>
        <w:rPr>
          <w:rFonts w:ascii="Arial" w:hAnsi="Arial" w:cs="Arial"/>
        </w:rPr>
      </w:pPr>
      <w:r>
        <w:rPr>
          <w:rFonts w:cs="Arial" w:ascii="Arial" w:hAnsi="Arial"/>
        </w:rPr>
        <w:t xml:space="preserve">Conducting any legal proceedings, obtaining legal advice or defending any legal rights  </w:t>
      </w:r>
    </w:p>
    <w:p>
      <w:pPr>
        <w:pStyle w:val="Normal"/>
        <w:numPr>
          <w:ilvl w:val="0"/>
          <w:numId w:val="1"/>
        </w:numPr>
        <w:spacing w:before="240" w:after="240"/>
        <w:rPr>
          <w:rFonts w:ascii="Arial" w:hAnsi="Arial" w:cs="Arial"/>
          <w:bCs/>
        </w:rPr>
      </w:pPr>
      <w:r>
        <w:rPr>
          <w:rFonts w:cs="Arial" w:ascii="Arial" w:hAnsi="Arial"/>
        </w:rPr>
        <w:t>Monitoring for equal opportunities purposes – i.e. race, disability or religion</w:t>
      </w:r>
    </w:p>
    <w:p>
      <w:pPr>
        <w:pStyle w:val="Normal"/>
        <w:numPr>
          <w:ilvl w:val="0"/>
          <w:numId w:val="1"/>
        </w:numPr>
        <w:spacing w:before="240" w:after="240"/>
        <w:rPr>
          <w:rFonts w:ascii="Arial" w:hAnsi="Arial" w:cs="Arial"/>
          <w:bCs/>
        </w:rPr>
      </w:pPr>
      <w:r>
        <w:rPr>
          <w:rFonts w:cs="Arial" w:ascii="Arial" w:hAnsi="Arial"/>
        </w:rPr>
        <w:t>Providing a confidential service where the Data Subject’s consent cannot be obtained or where it is reasonable to proceed without consent: e.g. where we would wish to avoid forcing stressed or ill Data Subjects to provide consent signatures.</w:t>
      </w:r>
    </w:p>
    <w:p>
      <w:pPr>
        <w:pStyle w:val="Normal"/>
        <w:spacing w:before="240" w:after="240"/>
        <w:rPr>
          <w:rFonts w:ascii="Arial" w:hAnsi="Arial" w:cs="Arial"/>
          <w:bCs/>
        </w:rPr>
      </w:pPr>
      <w:r>
        <w:rPr>
          <w:rFonts w:cs="Arial" w:ascii="Arial" w:hAnsi="Arial"/>
        </w:rPr>
        <w:t xml:space="preserve">FAN Charity </w:t>
      </w:r>
      <w:r>
        <w:rPr>
          <w:rFonts w:cs="Arial" w:ascii="Arial" w:hAnsi="Arial"/>
          <w:bCs/>
        </w:rPr>
        <w:t xml:space="preserve">regards the lawful and correct treatment of personal information as very important to successful working, and to maintaining the confidence of those with whom we deal.  </w:t>
      </w:r>
    </w:p>
    <w:p>
      <w:pPr>
        <w:pStyle w:val="Normal"/>
        <w:spacing w:before="240" w:after="240"/>
        <w:rPr>
          <w:rFonts w:ascii="Arial" w:hAnsi="Arial" w:cs="Arial"/>
          <w:bCs/>
          <w:color w:themeColor="accent1" w:val="4472C4"/>
        </w:rPr>
      </w:pPr>
      <w:r>
        <w:rPr>
          <w:rFonts w:cs="Arial" w:ascii="Arial" w:hAnsi="Arial"/>
          <w:b/>
        </w:rPr>
        <w:t>Please see below a table showing the personal data held by FAN Charity updated having read the ICO guidelines</w:t>
      </w:r>
    </w:p>
    <w:p>
      <w:pPr>
        <w:pStyle w:val="Normal"/>
        <w:jc w:val="both"/>
        <w:rPr>
          <w:rFonts w:ascii="Arial" w:hAnsi="Arial" w:cs="Arial"/>
          <w:bCs/>
        </w:rPr>
      </w:pPr>
      <w:r>
        <w:rPr>
          <w:rFonts w:cs="Arial" w:ascii="Arial" w:hAnsi="Arial"/>
          <w:bCs/>
        </w:rPr>
        <w:t>NB Security measures for all includes explicit consent, specific use, removing information when requested or out of date, as identified in this policy</w:t>
      </w:r>
    </w:p>
    <w:p>
      <w:pPr>
        <w:pStyle w:val="Normal"/>
        <w:jc w:val="both"/>
        <w:rPr>
          <w:rFonts w:ascii="Arial" w:hAnsi="Arial" w:cs="Arial"/>
        </w:rPr>
      </w:pPr>
      <w:r>
        <w:rPr>
          <w:rFonts w:cs="Arial" w:ascii="Arial" w:hAnsi="Arial"/>
        </w:rPr>
      </w:r>
    </w:p>
    <w:tbl>
      <w:tblPr>
        <w:tblW w:w="10065" w:type="dxa"/>
        <w:jc w:val="start"/>
        <w:tblInd w:w="-743" w:type="dxa"/>
        <w:tblLayout w:type="fixed"/>
        <w:tblCellMar>
          <w:top w:w="0" w:type="dxa"/>
          <w:start w:w="108" w:type="dxa"/>
          <w:bottom w:w="0" w:type="dxa"/>
          <w:end w:w="108" w:type="dxa"/>
        </w:tblCellMar>
        <w:tblLook w:val="04a0" w:firstRow="1" w:noVBand="1" w:lastRow="0" w:firstColumn="1" w:lastColumn="0" w:noHBand="0"/>
      </w:tblPr>
      <w:tblGrid>
        <w:gridCol w:w="1843"/>
        <w:gridCol w:w="2303"/>
        <w:gridCol w:w="2404"/>
        <w:gridCol w:w="1672"/>
        <w:gridCol w:w="1843"/>
      </w:tblGrid>
      <w:tr>
        <w:trPr>
          <w:trHeight w:val="588" w:hRule="atLeast"/>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b/>
                <w:bCs/>
              </w:rPr>
            </w:pPr>
            <w:r>
              <w:rPr>
                <w:rFonts w:cs="Arial" w:ascii="Arial" w:hAnsi="Arial"/>
                <w:b/>
                <w:bCs/>
              </w:rPr>
              <w:t>Who holds what and how?</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b/>
                <w:bCs/>
              </w:rPr>
            </w:pPr>
            <w:r>
              <w:rPr>
                <w:rFonts w:cs="Arial" w:ascii="Arial" w:hAnsi="Arial"/>
                <w:b/>
                <w:bCs/>
              </w:rPr>
              <w:t>Security measures</w:t>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b/>
                <w:bCs/>
              </w:rPr>
            </w:pPr>
            <w:r>
              <w:rPr>
                <w:rFonts w:cs="Arial" w:ascii="Arial" w:hAnsi="Arial"/>
                <w:b/>
                <w:bCs/>
              </w:rPr>
              <w:t>From</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b/>
                <w:bCs/>
              </w:rPr>
            </w:pPr>
            <w:r>
              <w:rPr>
                <w:rFonts w:cs="Arial" w:ascii="Arial" w:hAnsi="Arial"/>
                <w:b/>
                <w:bCs/>
              </w:rPr>
              <w:t>Shared?</w:t>
            </w:r>
          </w:p>
        </w:tc>
      </w:tr>
      <w:tr>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Staff members</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Designated trustees; names, contact details, financial details</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Locked file, strong password protected phone or computer</w:t>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Staff members</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Yes with pension and paying bodies</w:t>
            </w:r>
          </w:p>
        </w:tc>
      </w:tr>
      <w:tr>
        <w:trPr>
          <w:trHeight w:val="1135" w:hRule="atLeast"/>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Trustees</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FAN staff</w:t>
            </w:r>
          </w:p>
          <w:p>
            <w:pPr>
              <w:pStyle w:val="Normal"/>
              <w:rPr>
                <w:rFonts w:ascii="Arial" w:hAnsi="Arial" w:cs="Arial"/>
              </w:rPr>
            </w:pPr>
            <w:r>
              <w:rPr>
                <w:rFonts w:cs="Arial" w:ascii="Arial" w:hAnsi="Arial"/>
              </w:rPr>
              <w:t>Designated Trustees.  Names, contact details, DOB</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Password protected phone or computer</w:t>
            </w:r>
          </w:p>
          <w:p>
            <w:pPr>
              <w:pStyle w:val="Normal"/>
              <w:rPr>
                <w:rFonts w:ascii="Arial" w:hAnsi="Arial" w:cs="Arial"/>
              </w:rPr>
            </w:pPr>
            <w:r>
              <w:rPr>
                <w:rFonts w:cs="Arial" w:ascii="Arial" w:hAnsi="Arial"/>
              </w:rPr>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Trustees</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 xml:space="preserve">Charity Commission, Companies House, other trustees, FAN Staff </w:t>
            </w:r>
          </w:p>
        </w:tc>
      </w:tr>
      <w:tr>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Facilitators</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highlight w:val="yellow"/>
              </w:rPr>
            </w:pPr>
            <w:r>
              <w:rPr>
                <w:rFonts w:cs="Arial" w:ascii="Arial" w:hAnsi="Arial"/>
              </w:rPr>
              <w:t>FAN staff; Designated trustees. Names contact details</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Password protected, blind copies</w:t>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Facilitators</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No</w:t>
            </w:r>
          </w:p>
        </w:tc>
      </w:tr>
      <w:tr>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Members</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Designated Trustees. Names, contact details</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Password protected, blind copies</w:t>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Members</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No</w:t>
            </w:r>
          </w:p>
        </w:tc>
      </w:tr>
      <w:tr>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Individuals requesting information about FAN</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Staff or relevant Trustees; activity from events; email Groups; Welcome All email address holder. Email or phone plus name</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Password protected</w:t>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People requesting information</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Yes to other facilitators as requested</w:t>
            </w:r>
          </w:p>
        </w:tc>
      </w:tr>
      <w:tr>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 xml:space="preserve">Group participants </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Facilitators. Names, emails and or phone numbers</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Password protected, blind copied or individual messages on WhatsApp or text groups.  Facilitators are clear about good practice for holding and using participant data, training, reminders</w:t>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People attending Groups</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No</w:t>
            </w:r>
          </w:p>
        </w:tc>
      </w:tr>
      <w:tr>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Events</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Staff and designated Trustees. Name, email, phone</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Password protected and encrypted files</w:t>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Invitees</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No</w:t>
            </w:r>
          </w:p>
        </w:tc>
      </w:tr>
      <w:tr>
        <w:trPr/>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Donors</w:t>
            </w:r>
          </w:p>
        </w:tc>
        <w:tc>
          <w:tcPr>
            <w:tcW w:w="230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t>Designated Trustees.  Name, contact details</w:t>
            </w:r>
          </w:p>
        </w:tc>
        <w:tc>
          <w:tcPr>
            <w:tcW w:w="2404"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r>
          </w:p>
        </w:tc>
        <w:tc>
          <w:tcPr>
            <w:tcW w:w="1672"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rPr>
            </w:pPr>
            <w:r>
              <w:rPr>
                <w:rFonts w:cs="Arial" w:ascii="Arial" w:hAnsi="Arial"/>
              </w:rPr>
            </w:r>
          </w:p>
        </w:tc>
      </w:tr>
    </w:tbl>
    <w:p>
      <w:pPr>
        <w:pStyle w:val="NormalWeb"/>
        <w:spacing w:beforeAutospacing="0" w:before="0" w:afterAutospacing="0" w:after="0"/>
        <w:ind w:end="-154"/>
        <w:rPr>
          <w:rFonts w:ascii="Arial" w:hAnsi="Arial" w:cs="Arial"/>
        </w:rPr>
      </w:pPr>
      <w:r>
        <w:rPr>
          <w:rFonts w:cs="Arial" w:ascii="Arial" w:hAnsi="Arial"/>
        </w:rPr>
      </w:r>
    </w:p>
    <w:p>
      <w:pPr>
        <w:pStyle w:val="NormalWeb"/>
        <w:spacing w:beforeAutospacing="0" w:before="0" w:afterAutospacing="0" w:after="0"/>
        <w:ind w:end="-154"/>
        <w:rPr>
          <w:rFonts w:ascii="Arial" w:hAnsi="Arial" w:cs="Arial"/>
        </w:rPr>
      </w:pPr>
      <w:r>
        <w:rPr>
          <w:rFonts w:cs="Arial" w:ascii="Arial" w:hAnsi="Arial"/>
        </w:rPr>
      </w:r>
    </w:p>
    <w:p>
      <w:pPr>
        <w:pStyle w:val="Normal"/>
        <w:spacing w:before="240" w:after="240"/>
        <w:rPr>
          <w:rFonts w:ascii="Arial" w:hAnsi="Arial" w:cs="Arial"/>
          <w:b/>
        </w:rPr>
      </w:pPr>
      <w:r>
        <w:rPr>
          <w:rFonts w:cs="Arial" w:ascii="Arial" w:hAnsi="Arial"/>
          <w:b/>
        </w:rPr>
        <w:t>Further information</w:t>
      </w:r>
    </w:p>
    <w:p>
      <w:pPr>
        <w:pStyle w:val="NormalWeb"/>
        <w:spacing w:before="280" w:after="280"/>
        <w:rPr>
          <w:rFonts w:ascii="Arial" w:hAnsi="Arial" w:cs="Arial"/>
          <w:color w:val="EE0000"/>
        </w:rPr>
      </w:pPr>
      <w:r>
        <w:rPr>
          <w:rFonts w:cs="Arial" w:ascii="Arial" w:hAnsi="Arial"/>
        </w:rPr>
        <w:t xml:space="preserve">FAN Charity: Information Guide: </w:t>
      </w:r>
      <w:hyperlink r:id="rId6">
        <w:r>
          <w:rPr>
            <w:rStyle w:val="Hyperlink"/>
            <w:rFonts w:cs="Arial" w:ascii="Arial" w:hAnsi="Arial"/>
          </w:rPr>
          <w:t>Data Protection Guidelines for Volunteer Facilitators</w:t>
        </w:r>
      </w:hyperlink>
      <w:r>
        <w:rPr>
          <w:rFonts w:cs="Arial" w:ascii="Arial" w:hAnsi="Arial"/>
        </w:rPr>
        <w:t xml:space="preserve">, June 2026 </w:t>
      </w:r>
    </w:p>
    <w:p>
      <w:pPr>
        <w:pStyle w:val="NormalWeb"/>
        <w:spacing w:before="280" w:after="280"/>
        <w:rPr>
          <w:rFonts w:ascii="Arial" w:hAnsi="Arial" w:cs="Arial"/>
          <w:b/>
          <w:bCs/>
        </w:rPr>
      </w:pPr>
      <w:hyperlink r:id="rId7">
        <w:r>
          <w:rPr>
            <w:rStyle w:val="Style"/>
            <w:rFonts w:cs="Arial" w:ascii="Arial" w:hAnsi="Arial"/>
            <w:color w:val="0000FF"/>
            <w:u w:val="single"/>
          </w:rPr>
          <w:t>Charity Finance Group | GDPR for Small Charities</w:t>
        </w:r>
      </w:hyperlink>
      <w:r>
        <w:rPr>
          <w:rFonts w:cs="Arial" w:ascii="Arial" w:hAnsi="Arial"/>
        </w:rPr>
        <w:t>, 2023</w:t>
      </w:r>
    </w:p>
    <w:p>
      <w:pPr>
        <w:pStyle w:val="NormalWeb"/>
        <w:spacing w:before="280" w:after="280"/>
        <w:rPr>
          <w:rFonts w:ascii="Arial" w:hAnsi="Arial" w:cs="Arial"/>
        </w:rPr>
      </w:pPr>
      <w:hyperlink r:id="rId8">
        <w:r>
          <w:rPr>
            <w:rStyle w:val="Hyperlink"/>
            <w:rFonts w:cs="Arial" w:ascii="Arial" w:hAnsi="Arial"/>
          </w:rPr>
          <w:t>Information Commissioner’s Office</w:t>
        </w:r>
      </w:hyperlink>
    </w:p>
    <w:p>
      <w:pPr>
        <w:pStyle w:val="Normal"/>
        <w:spacing w:lineRule="auto" w:line="259" w:before="0" w:after="160"/>
        <w:rPr>
          <w:rFonts w:ascii="Arial" w:hAnsi="Arial" w:cs="Arial"/>
        </w:rPr>
      </w:pPr>
      <w:hyperlink r:id="rId9">
        <w:r>
          <w:rPr>
            <w:rStyle w:val="Style"/>
            <w:rFonts w:cs="Arial" w:ascii="Arial" w:hAnsi="Arial"/>
            <w:color w:val="0000FF"/>
            <w:u w:val="single"/>
          </w:rPr>
          <w:t>Data Protection Act 2018</w:t>
        </w:r>
      </w:hyperlink>
    </w:p>
    <w:p>
      <w:pPr>
        <w:pStyle w:val="Normal"/>
        <w:spacing w:lineRule="auto" w:line="259" w:before="0" w:after="160"/>
        <w:rPr>
          <w:rFonts w:ascii="Arial" w:hAnsi="Arial" w:cs="Arial"/>
        </w:rPr>
      </w:pPr>
      <w:hyperlink r:id="rId10">
        <w:r>
          <w:rPr>
            <w:rStyle w:val="Style"/>
            <w:rFonts w:cs="Arial" w:ascii="Arial" w:hAnsi="Arial"/>
            <w:color w:val="0000FF"/>
            <w:u w:val="single"/>
          </w:rPr>
          <w:t>UK General Data Protection Regulation | ICO</w:t>
        </w:r>
      </w:hyperlink>
    </w:p>
    <w:p>
      <w:pPr>
        <w:pStyle w:val="Normal"/>
        <w:rPr>
          <w:rFonts w:ascii="Arial" w:hAnsi="Arial" w:cs="Arial"/>
        </w:rPr>
      </w:pPr>
      <w:hyperlink r:id="rId11">
        <w:r>
          <w:rPr>
            <w:rStyle w:val="Style"/>
            <w:rFonts w:cs="Arial" w:ascii="Arial" w:hAnsi="Arial"/>
            <w:color w:val="0000FF"/>
            <w:u w:val="single"/>
          </w:rPr>
          <w:t>Data (Use and Access) Act 2025 | ICO</w:t>
        </w:r>
      </w:hyperlink>
      <w:r>
        <w:rPr>
          <w:rFonts w:cs="Arial" w:ascii="Arial" w:hAnsi="Arial"/>
        </w:rPr>
        <w:t>.</w:t>
      </w:r>
    </w:p>
    <w:p>
      <w:pPr>
        <w:pStyle w:val="Normal"/>
        <w:rPr>
          <w:rFonts w:ascii="Arial" w:hAnsi="Arial" w:cs="Arial"/>
        </w:rPr>
      </w:pPr>
      <w:r>
        <w:rPr>
          <w:rFonts w:cs="Arial" w:ascii="Arial" w:hAnsi="Arial"/>
        </w:rPr>
      </w:r>
    </w:p>
    <w:p>
      <w:pPr>
        <w:pStyle w:val="Normal"/>
        <w:rPr>
          <w:rFonts w:ascii="Arial" w:hAnsi="Arial" w:cs="Arial"/>
        </w:rPr>
      </w:pPr>
      <w:hyperlink r:id="rId12">
        <w:r>
          <w:rPr>
            <w:rStyle w:val="Hyperlink"/>
            <w:rFonts w:cs="Arial" w:ascii="Arial" w:hAnsi="Arial"/>
          </w:rPr>
          <w:t>Advice for small and medium organisations | ICO</w:t>
        </w:r>
      </w:hyperlink>
    </w:p>
    <w:p>
      <w:pPr>
        <w:pStyle w:val="Normal"/>
        <w:spacing w:before="240" w:after="240"/>
        <w:rPr>
          <w:rFonts w:ascii="Arial" w:hAnsi="Arial" w:cs="Arial"/>
          <w:b/>
          <w:color w:val="EE0000"/>
        </w:rPr>
      </w:pPr>
      <w:r>
        <w:rPr>
          <w:rFonts w:cs="Arial" w:ascii="Arial" w:hAnsi="Arial"/>
          <w:b/>
          <w:color w:val="EE0000"/>
        </w:rPr>
      </w:r>
    </w:p>
    <w:p>
      <w:pPr>
        <w:pStyle w:val="Normal"/>
        <w:spacing w:before="240" w:after="240"/>
        <w:rPr>
          <w:rFonts w:ascii="Arial" w:hAnsi="Arial" w:cs="Arial"/>
          <w:b/>
          <w:color w:val="EE0000"/>
        </w:rPr>
      </w:pPr>
      <w:r>
        <w:rPr>
          <w:rFonts w:cs="Arial" w:ascii="Arial" w:hAnsi="Arial"/>
          <w:b/>
          <w:color w:val="EE0000"/>
        </w:rPr>
      </w:r>
    </w:p>
    <w:p>
      <w:pPr>
        <w:pStyle w:val="Normal"/>
        <w:spacing w:before="240" w:after="240"/>
        <w:rPr>
          <w:rFonts w:ascii="Arial" w:hAnsi="Arial" w:cs="Arial"/>
          <w:b/>
          <w:color w:val="EE0000"/>
        </w:rPr>
      </w:pPr>
      <w:r>
        <w:rPr>
          <w:rFonts w:cs="Arial" w:ascii="Arial" w:hAnsi="Arial"/>
          <w:b/>
          <w:color w:val="EE0000"/>
        </w:rPr>
      </w:r>
    </w:p>
    <w:p>
      <w:pPr>
        <w:pStyle w:val="Normal"/>
        <w:spacing w:before="240" w:after="240"/>
        <w:rPr>
          <w:rFonts w:ascii="Arial" w:hAnsi="Arial" w:cs="Arial"/>
          <w:b/>
          <w:color w:val="EE0000"/>
        </w:rPr>
      </w:pPr>
      <w:r>
        <w:rPr>
          <w:rFonts w:cs="Arial" w:ascii="Arial" w:hAnsi="Arial"/>
          <w:b/>
          <w:color w:val="EE0000"/>
        </w:rPr>
      </w:r>
    </w:p>
    <w:p>
      <w:pPr>
        <w:pStyle w:val="Normal"/>
        <w:spacing w:before="240" w:after="240"/>
        <w:rPr>
          <w:rFonts w:ascii="Arial" w:hAnsi="Arial" w:cs="Arial"/>
          <w:b/>
          <w:color w:val="EE0000"/>
        </w:rPr>
      </w:pPr>
      <w:r>
        <w:rPr>
          <w:rFonts w:cs="Arial" w:ascii="Arial" w:hAnsi="Arial"/>
          <w:b/>
          <w:color w:val="EE0000"/>
        </w:rPr>
      </w:r>
    </w:p>
    <w:p>
      <w:pPr>
        <w:pStyle w:val="Normal"/>
        <w:spacing w:before="240" w:after="240"/>
        <w:rPr>
          <w:rFonts w:ascii="Arial" w:hAnsi="Arial" w:cs="Arial"/>
          <w:b/>
          <w:color w:val="EE0000"/>
        </w:rPr>
      </w:pPr>
      <w:r>
        <w:rPr>
          <w:rFonts w:cs="Arial" w:ascii="Arial" w:hAnsi="Arial"/>
          <w:b/>
          <w:color w:val="EE0000"/>
        </w:rPr>
      </w:r>
    </w:p>
    <w:p>
      <w:pPr>
        <w:pStyle w:val="Normal"/>
        <w:rPr>
          <w:rFonts w:ascii="Arial" w:hAnsi="Arial" w:cs="Arial"/>
        </w:rPr>
      </w:pPr>
      <w:r>
        <w:rPr>
          <w:rFonts w:cs="Arial" w:ascii="Arial" w:hAnsi="Arial"/>
        </w:rPr>
        <w:t>Reviewed by FAN Charity: Working Group: Marketing and Communications 26.2.26 and 11.6.26</w:t>
      </w:r>
    </w:p>
    <w:p>
      <w:pPr>
        <w:pStyle w:val="Normal"/>
        <w:rPr>
          <w:rFonts w:ascii="Arial" w:hAnsi="Arial" w:cs="Arial"/>
          <w:highlight w:val="yellow"/>
        </w:rPr>
      </w:pPr>
      <w:r>
        <w:rPr>
          <w:rFonts w:cs="Arial" w:ascii="Arial" w:hAnsi="Arial"/>
          <w:highlight w:val="yellow"/>
        </w:rPr>
      </w:r>
    </w:p>
    <w:p>
      <w:pPr>
        <w:pStyle w:val="Normal"/>
        <w:rPr>
          <w:rFonts w:ascii="Arial" w:hAnsi="Arial" w:cs="Arial"/>
        </w:rPr>
      </w:pPr>
      <w:r>
        <w:rPr>
          <w:rFonts w:cs="Arial" w:ascii="Arial" w:hAnsi="Arial"/>
        </w:rPr>
        <w:t>Adopted by Board of Trustees: 18.6.2026</w:t>
      </w:r>
    </w:p>
    <w:p>
      <w:pPr>
        <w:pStyle w:val="NormalWeb"/>
        <w:spacing w:beforeAutospacing="0" w:before="0" w:afterAutospacing="0" w:after="0"/>
        <w:ind w:end="-154"/>
        <w:rPr>
          <w:rFonts w:ascii="Arial" w:hAnsi="Arial" w:cs="Arial"/>
        </w:rPr>
      </w:pPr>
      <w:r>
        <w:rPr>
          <w:rFonts w:cs="Arial" w:ascii="Arial" w:hAnsi="Arial"/>
        </w:rPr>
      </w:r>
    </w:p>
    <w:p>
      <w:pPr>
        <w:pStyle w:val="NormalWeb"/>
        <w:spacing w:beforeAutospacing="0" w:before="0" w:afterAutospacing="0" w:after="0"/>
        <w:ind w:end="-154"/>
        <w:rPr>
          <w:rFonts w:ascii="Arial" w:hAnsi="Arial" w:cs="Arial"/>
        </w:rPr>
      </w:pPr>
      <w:r>
        <w:rPr>
          <w:rFonts w:cs="Arial" w:ascii="Arial" w:hAnsi="Arial"/>
        </w:rPr>
      </w:r>
    </w:p>
    <w:p>
      <w:pPr>
        <w:pStyle w:val="NormalWeb"/>
        <w:spacing w:beforeAutospacing="0" w:before="0" w:afterAutospacing="0" w:after="0"/>
        <w:ind w:end="-154"/>
        <w:rPr>
          <w:rFonts w:ascii="Arial" w:hAnsi="Arial" w:cs="Arial"/>
        </w:rPr>
      </w:pPr>
      <w:r>
        <w:rPr>
          <w:rFonts w:cs="Arial" w:ascii="Arial" w:hAnsi="Arial"/>
        </w:rPr>
        <w:t>Signed:</w:t>
        <w:tab/>
      </w:r>
      <w:r>
        <w:rPr/>
        <w:drawing>
          <wp:inline distT="0" distB="0" distL="0" distR="0">
            <wp:extent cx="2194560" cy="464820"/>
            <wp:effectExtent l="0" t="0" r="0" b="0"/>
            <wp:docPr id="2" name="Picture 191703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17030086"/>
                    <pic:cNvPicPr>
                      <a:picLocks noChangeAspect="1" noChangeArrowheads="1"/>
                    </pic:cNvPicPr>
                  </pic:nvPicPr>
                  <pic:blipFill>
                    <a:blip r:embed="rId13"/>
                    <a:srcRect l="0" t="0" r="0" b="23745"/>
                    <a:stretch>
                      <a:fillRect/>
                    </a:stretch>
                  </pic:blipFill>
                  <pic:spPr bwMode="auto">
                    <a:xfrm>
                      <a:off x="0" y="0"/>
                      <a:ext cx="2194560" cy="464820"/>
                    </a:xfrm>
                    <a:prstGeom prst="rect">
                      <a:avLst/>
                    </a:prstGeom>
                    <a:noFill/>
                  </pic:spPr>
                </pic:pic>
              </a:graphicData>
            </a:graphic>
          </wp:inline>
        </w:drawing>
      </w:r>
    </w:p>
    <w:p>
      <w:pPr>
        <w:pStyle w:val="NormalWeb"/>
        <w:spacing w:beforeAutospacing="0" w:before="0" w:afterAutospacing="0" w:after="0"/>
        <w:ind w:end="-154"/>
        <w:rPr>
          <w:rFonts w:ascii="Arial" w:hAnsi="Arial" w:cs="Arial"/>
        </w:rPr>
      </w:pPr>
      <w:r>
        <w:rPr>
          <w:rFonts w:cs="Arial" w:ascii="Arial" w:hAnsi="Arial"/>
        </w:rPr>
        <w:tab/>
        <w:tab/>
        <w:t>Ian Thomson</w:t>
      </w:r>
    </w:p>
    <w:p>
      <w:pPr>
        <w:pStyle w:val="NormalWeb"/>
        <w:spacing w:beforeAutospacing="0" w:before="0" w:afterAutospacing="0" w:after="0"/>
        <w:ind w:end="-154"/>
        <w:rPr>
          <w:rFonts w:ascii="Arial" w:hAnsi="Arial" w:cs="Arial"/>
        </w:rPr>
      </w:pPr>
      <w:r>
        <w:rPr>
          <w:rFonts w:cs="Arial" w:ascii="Arial" w:hAnsi="Arial"/>
        </w:rPr>
      </w:r>
    </w:p>
    <w:p>
      <w:pPr>
        <w:pStyle w:val="NormalWeb"/>
        <w:spacing w:beforeAutospacing="0" w:before="0" w:afterAutospacing="0" w:after="0"/>
        <w:ind w:end="-154"/>
        <w:rPr>
          <w:rFonts w:ascii="Arial" w:hAnsi="Arial" w:cs="Arial"/>
        </w:rPr>
      </w:pPr>
      <w:r>
        <w:rPr>
          <w:rFonts w:cs="Arial" w:ascii="Arial" w:hAnsi="Arial"/>
        </w:rPr>
        <w:t>Role:</w:t>
        <w:tab/>
        <w:tab/>
        <w:t>Chairman</w:t>
      </w:r>
    </w:p>
    <w:p>
      <w:pPr>
        <w:pStyle w:val="NormalWeb"/>
        <w:spacing w:beforeAutospacing="0" w:before="0" w:afterAutospacing="0" w:after="0"/>
        <w:ind w:end="-154"/>
        <w:rPr>
          <w:rFonts w:ascii="Arial" w:hAnsi="Arial" w:cs="Arial"/>
        </w:rPr>
      </w:pPr>
      <w:r>
        <w:rPr>
          <w:rFonts w:cs="Arial" w:ascii="Arial" w:hAnsi="Arial"/>
        </w:rPr>
      </w:r>
    </w:p>
    <w:p>
      <w:pPr>
        <w:pStyle w:val="NormalWeb"/>
        <w:spacing w:beforeAutospacing="0" w:before="0" w:afterAutospacing="0" w:after="0"/>
        <w:ind w:end="-154"/>
        <w:rPr>
          <w:rFonts w:ascii="Arial" w:hAnsi="Arial" w:cs="Arial"/>
        </w:rPr>
      </w:pPr>
      <w:r>
        <w:rPr>
          <w:rFonts w:cs="Arial" w:ascii="Arial" w:hAnsi="Arial"/>
        </w:rPr>
        <w:t>Date:</w:t>
        <w:tab/>
        <w:tab/>
        <w:t>18.6.2026</w:t>
      </w:r>
    </w:p>
    <w:p>
      <w:pPr>
        <w:pStyle w:val="Normal"/>
        <w:ind w:end="-154"/>
        <w:rPr>
          <w:rFonts w:ascii="Arial" w:hAnsi="Arial" w:cs="Arial"/>
        </w:rPr>
      </w:pPr>
      <w:r>
        <w:rPr>
          <w:rFonts w:cs="Arial" w:ascii="Arial" w:hAnsi="Arial"/>
        </w:rPr>
      </w:r>
    </w:p>
    <w:p>
      <w:pPr>
        <w:pStyle w:val="Normal"/>
        <w:ind w:end="-154"/>
        <w:rPr>
          <w:rFonts w:ascii="Arial" w:hAnsi="Arial" w:cs="Arial"/>
        </w:rPr>
      </w:pPr>
      <w:r>
        <w:rPr>
          <w:rFonts w:cs="Arial" w:ascii="Arial" w:hAnsi="Arial"/>
        </w:rPr>
      </w:r>
    </w:p>
    <w:p>
      <w:pPr>
        <w:pStyle w:val="Normal"/>
        <w:rPr/>
      </w:pPr>
      <w:r>
        <w:rPr/>
      </w:r>
    </w:p>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800" w:right="1800" w:gutter="0" w:header="708" w:top="1440" w:footer="708"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Calibri" w:hAnsi="Calibri" w:cs="Calibri" w:asciiTheme="minorHAnsi" w:cstheme="minorHAnsi" w:hAnsiTheme="minorHAnsi"/>
        <w:b/>
        <w:sz w:val="20"/>
        <w:szCs w:val="20"/>
      </w:rPr>
    </w:pPr>
    <w:r>
      <w:rPr>
        <w:rFonts w:cs="Calibri" w:ascii="Calibri" w:hAnsi="Calibri" w:asciiTheme="minorHAnsi" w:cstheme="minorHAnsi" w:hAnsiTheme="minorHAnsi"/>
        <w:b/>
        <w:sz w:val="20"/>
        <w:szCs w:val="20"/>
      </w:rPr>
      <w:t>The FAN Charity: Policies: Data Protection Policy and Procedures</w:t>
    </w:r>
  </w:p>
  <w:p>
    <w:pPr>
      <w:pStyle w:val="Footer"/>
      <w:rPr>
        <w:rFonts w:ascii="Calibri" w:hAnsi="Calibri" w:cs="Calibri" w:asciiTheme="minorHAnsi" w:cstheme="minorHAnsi" w:hAnsiTheme="minorHAnsi"/>
        <w:b/>
        <w:color w:val="C00000"/>
        <w:sz w:val="20"/>
        <w:szCs w:val="20"/>
      </w:rPr>
    </w:pPr>
    <w:r>
      <w:rPr>
        <w:rFonts w:cs="Calibri" w:ascii="Calibri" w:hAnsi="Calibri" w:asciiTheme="minorHAnsi" w:cstheme="minorHAnsi" w:hAnsiTheme="minorHAnsi"/>
        <w:b/>
        <w:sz w:val="20"/>
        <w:szCs w:val="20"/>
      </w:rPr>
      <w:t xml:space="preserve">Original creation: 03/18   Latest review: 07/26   Next review: 06/27   </w:t>
    </w:r>
    <w:r>
      <w:rPr>
        <w:rFonts w:cs="Calibri" w:ascii="Calibri" w:hAnsi="Calibri" w:asciiTheme="minorHAnsi" w:cstheme="minorHAnsi" w:hAnsiTheme="minorHAnsi"/>
        <w:b/>
        <w:color w:val="C00000"/>
        <w:sz w:val="20"/>
        <w:szCs w:val="20"/>
      </w:rPr>
      <w:t>Final version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Calibri" w:hAnsi="Calibri" w:cs="Calibri" w:asciiTheme="minorHAnsi" w:cstheme="minorHAnsi" w:hAnsiTheme="minorHAnsi"/>
        <w:b/>
        <w:sz w:val="20"/>
        <w:szCs w:val="20"/>
      </w:rPr>
    </w:pPr>
    <w:r>
      <w:rPr>
        <w:rFonts w:cs="Calibri" w:ascii="Calibri" w:hAnsi="Calibri" w:asciiTheme="minorHAnsi" w:cstheme="minorHAnsi" w:hAnsiTheme="minorHAnsi"/>
        <w:b/>
        <w:sz w:val="20"/>
        <w:szCs w:val="20"/>
      </w:rPr>
      <w:t>The FAN Charity: Policies: Data Protection Policy and Procedures</w:t>
    </w:r>
  </w:p>
  <w:p>
    <w:pPr>
      <w:pStyle w:val="Footer"/>
      <w:rPr>
        <w:rFonts w:ascii="Calibri" w:hAnsi="Calibri" w:cs="Calibri" w:asciiTheme="minorHAnsi" w:cstheme="minorHAnsi" w:hAnsiTheme="minorHAnsi"/>
        <w:b/>
        <w:color w:val="C00000"/>
        <w:sz w:val="20"/>
        <w:szCs w:val="20"/>
      </w:rPr>
    </w:pPr>
    <w:r>
      <w:rPr>
        <w:rFonts w:cs="Calibri" w:ascii="Calibri" w:hAnsi="Calibri" w:asciiTheme="minorHAnsi" w:cstheme="minorHAnsi" w:hAnsiTheme="minorHAnsi"/>
        <w:b/>
        <w:sz w:val="20"/>
        <w:szCs w:val="20"/>
      </w:rPr>
      <w:t xml:space="preserve">Original creation: 03/18   Latest review: 07/26   Next review: 06/27   </w:t>
    </w:r>
    <w:r>
      <w:rPr>
        <w:rFonts w:cs="Calibri" w:ascii="Calibri" w:hAnsi="Calibri" w:asciiTheme="minorHAnsi" w:cstheme="minorHAnsi" w:hAnsiTheme="minorHAnsi"/>
        <w:b/>
        <w:color w:val="C00000"/>
        <w:sz w:val="20"/>
        <w:szCs w:val="20"/>
      </w:rPr>
      <w:t>Final version</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10648528"/>
      <w:docPartObj>
        <w:docPartGallery w:val="Page Numbers (Top of Page)"/>
        <w:docPartUnique w:val="true"/>
      </w:docPartObj>
    </w:sdtPr>
    <w:sdtContent>
      <w:p>
        <w:pPr>
          <w:pStyle w:val="Header"/>
          <w:rPr/>
        </w:pPr>
        <w:r>
          <w:rPr/>
          <w:fldChar w:fldCharType="begin"/>
        </w:r>
        <w:r>
          <w:rPr/>
          <w:instrText xml:space="preserve"> PAGE </w:instrText>
        </w:r>
        <w:r>
          <w:rPr/>
          <w:fldChar w:fldCharType="separate"/>
        </w:r>
        <w:r>
          <w:rPr/>
          <w:t>9</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510648528"/>
      <w:docPartObj>
        <w:docPartGallery w:val="Page Numbers (Top of Page)"/>
        <w:docPartUnique w:val="true"/>
      </w:docPartObj>
    </w:sdtPr>
    <w:sdtContent>
      <w:p>
        <w:pPr>
          <w:pStyle w:val="Header"/>
          <w:rPr/>
        </w:pPr>
        <w:r>
          <w:rPr/>
          <w:fldChar w:fldCharType="begin"/>
        </w:r>
        <w:r>
          <w:rPr/>
          <w:instrText xml:space="preserve"> PAGE </w:instrText>
        </w:r>
        <w:r>
          <w:rPr/>
          <w:fldChar w:fldCharType="separate"/>
        </w:r>
        <w:r>
          <w:rPr/>
          <w:t>9</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1080"/>
        </w:tabs>
        <w:ind w:start="1080" w:hanging="360"/>
      </w:pPr>
      <w:rPr/>
    </w:lvl>
    <w:lvl w:ilvl="1">
      <w:start w:val="1"/>
      <w:numFmt w:val="lowerLetter"/>
      <w:lvlText w:val="%2."/>
      <w:lvlJc w:val="start"/>
      <w:pPr>
        <w:tabs>
          <w:tab w:val="num" w:pos="1800"/>
        </w:tabs>
        <w:ind w:start="1800" w:hanging="360"/>
      </w:pPr>
      <w:rPr/>
    </w:lvl>
    <w:lvl w:ilvl="2">
      <w:start w:val="1"/>
      <w:numFmt w:val="lowerRoman"/>
      <w:lvlText w:val="%3."/>
      <w:lvlJc w:val="end"/>
      <w:pPr>
        <w:tabs>
          <w:tab w:val="num" w:pos="2520"/>
        </w:tabs>
        <w:ind w:start="2520" w:hanging="180"/>
      </w:pPr>
      <w:rPr/>
    </w:lvl>
    <w:lvl w:ilvl="3">
      <w:start w:val="1"/>
      <w:numFmt w:val="decimal"/>
      <w:lvlText w:val="%4."/>
      <w:lvlJc w:val="start"/>
      <w:pPr>
        <w:tabs>
          <w:tab w:val="num" w:pos="3240"/>
        </w:tabs>
        <w:ind w:start="3240" w:hanging="360"/>
      </w:pPr>
      <w:rPr/>
    </w:lvl>
    <w:lvl w:ilvl="4">
      <w:start w:val="1"/>
      <w:numFmt w:val="lowerLetter"/>
      <w:lvlText w:val="%5."/>
      <w:lvlJc w:val="start"/>
      <w:pPr>
        <w:tabs>
          <w:tab w:val="num" w:pos="3960"/>
        </w:tabs>
        <w:ind w:start="3960" w:hanging="360"/>
      </w:pPr>
      <w:rPr/>
    </w:lvl>
    <w:lvl w:ilvl="5">
      <w:start w:val="1"/>
      <w:numFmt w:val="lowerRoman"/>
      <w:lvlText w:val="%6."/>
      <w:lvlJc w:val="end"/>
      <w:pPr>
        <w:tabs>
          <w:tab w:val="num" w:pos="4680"/>
        </w:tabs>
        <w:ind w:start="4680" w:hanging="180"/>
      </w:pPr>
      <w:rPr/>
    </w:lvl>
    <w:lvl w:ilvl="6">
      <w:start w:val="1"/>
      <w:numFmt w:val="decimal"/>
      <w:lvlText w:val="%7."/>
      <w:lvlJc w:val="start"/>
      <w:pPr>
        <w:tabs>
          <w:tab w:val="num" w:pos="5400"/>
        </w:tabs>
        <w:ind w:start="5400" w:hanging="360"/>
      </w:pPr>
      <w:rPr/>
    </w:lvl>
    <w:lvl w:ilvl="7">
      <w:start w:val="1"/>
      <w:numFmt w:val="lowerLetter"/>
      <w:lvlText w:val="%8."/>
      <w:lvlJc w:val="start"/>
      <w:pPr>
        <w:tabs>
          <w:tab w:val="num" w:pos="6120"/>
        </w:tabs>
        <w:ind w:start="6120" w:hanging="360"/>
      </w:pPr>
      <w:rPr/>
    </w:lvl>
    <w:lvl w:ilvl="8">
      <w:start w:val="1"/>
      <w:numFmt w:val="lowerRoman"/>
      <w:lvlText w:val="%9."/>
      <w:lvlJc w:val="end"/>
      <w:pPr>
        <w:tabs>
          <w:tab w:val="num" w:pos="6840"/>
        </w:tabs>
        <w:ind w:start="6840" w:hanging="18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6">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9">
    <w:lvl w:ilvl="0">
      <w:start w:val="1"/>
      <w:numFmt w:val="bullet"/>
      <w:lvlText w:val=""/>
      <w:lvlJc w:val="start"/>
      <w:pPr>
        <w:tabs>
          <w:tab w:val="num" w:pos="720"/>
        </w:tabs>
        <w:ind w:start="720"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0">
    <w:lvl w:ilvl="0">
      <w:start w:val="1"/>
      <w:numFmt w:val="bullet"/>
      <w:lvlText w:val=""/>
      <w:lvlJc w:val="start"/>
      <w:pPr>
        <w:tabs>
          <w:tab w:val="num" w:pos="1080"/>
        </w:tabs>
        <w:ind w:start="1080" w:hanging="360"/>
      </w:pPr>
      <w:rPr>
        <w:rFonts w:ascii="Symbol" w:hAnsi="Symbol" w:cs="Symbol" w:hint="default"/>
      </w:rPr>
    </w:lvl>
    <w:lvl w:ilvl="1">
      <w:start w:val="1"/>
      <w:numFmt w:val="bullet"/>
      <w:lvlText w:val="o"/>
      <w:lvlJc w:val="start"/>
      <w:pPr>
        <w:tabs>
          <w:tab w:val="num" w:pos="1800"/>
        </w:tabs>
        <w:ind w:start="1800" w:hanging="360"/>
      </w:pPr>
      <w:rPr>
        <w:rFonts w:ascii="Courier New" w:hAnsi="Courier New" w:cs="Courier New" w:hint="default"/>
      </w:rPr>
    </w:lvl>
    <w:lvl w:ilvl="2">
      <w:start w:val="1"/>
      <w:numFmt w:val="bullet"/>
      <w:lvlText w:val=""/>
      <w:lvlJc w:val="start"/>
      <w:pPr>
        <w:tabs>
          <w:tab w:val="num" w:pos="2520"/>
        </w:tabs>
        <w:ind w:start="2520" w:hanging="360"/>
      </w:pPr>
      <w:rPr>
        <w:rFonts w:ascii="Wingdings" w:hAnsi="Wingdings" w:cs="Wingdings" w:hint="default"/>
      </w:rPr>
    </w:lvl>
    <w:lvl w:ilvl="3">
      <w:start w:val="1"/>
      <w:numFmt w:val="bullet"/>
      <w:lvlText w:val=""/>
      <w:lvlJc w:val="start"/>
      <w:pPr>
        <w:tabs>
          <w:tab w:val="num" w:pos="3240"/>
        </w:tabs>
        <w:ind w:start="3240" w:hanging="360"/>
      </w:pPr>
      <w:rPr>
        <w:rFonts w:ascii="Symbol" w:hAnsi="Symbol" w:cs="Symbol" w:hint="default"/>
      </w:rPr>
    </w:lvl>
    <w:lvl w:ilvl="4">
      <w:start w:val="1"/>
      <w:numFmt w:val="bullet"/>
      <w:lvlText w:val="o"/>
      <w:lvlJc w:val="start"/>
      <w:pPr>
        <w:tabs>
          <w:tab w:val="num" w:pos="3960"/>
        </w:tabs>
        <w:ind w:start="3960" w:hanging="360"/>
      </w:pPr>
      <w:rPr>
        <w:rFonts w:ascii="Courier New" w:hAnsi="Courier New" w:cs="Courier New" w:hint="default"/>
      </w:rPr>
    </w:lvl>
    <w:lvl w:ilvl="5">
      <w:start w:val="1"/>
      <w:numFmt w:val="bullet"/>
      <w:lvlText w:val=""/>
      <w:lvlJc w:val="start"/>
      <w:pPr>
        <w:tabs>
          <w:tab w:val="num" w:pos="4680"/>
        </w:tabs>
        <w:ind w:start="4680" w:hanging="360"/>
      </w:pPr>
      <w:rPr>
        <w:rFonts w:ascii="Wingdings" w:hAnsi="Wingdings" w:cs="Wingdings" w:hint="default"/>
      </w:rPr>
    </w:lvl>
    <w:lvl w:ilvl="6">
      <w:start w:val="1"/>
      <w:numFmt w:val="bullet"/>
      <w:lvlText w:val=""/>
      <w:lvlJc w:val="start"/>
      <w:pPr>
        <w:tabs>
          <w:tab w:val="num" w:pos="5400"/>
        </w:tabs>
        <w:ind w:start="5400" w:hanging="360"/>
      </w:pPr>
      <w:rPr>
        <w:rFonts w:ascii="Symbol" w:hAnsi="Symbol" w:cs="Symbol" w:hint="default"/>
      </w:rPr>
    </w:lvl>
    <w:lvl w:ilvl="7">
      <w:start w:val="1"/>
      <w:numFmt w:val="bullet"/>
      <w:lvlText w:val="o"/>
      <w:lvlJc w:val="start"/>
      <w:pPr>
        <w:tabs>
          <w:tab w:val="num" w:pos="6120"/>
        </w:tabs>
        <w:ind w:start="6120" w:hanging="360"/>
      </w:pPr>
      <w:rPr>
        <w:rFonts w:ascii="Courier New" w:hAnsi="Courier New" w:cs="Courier New" w:hint="default"/>
      </w:rPr>
    </w:lvl>
    <w:lvl w:ilvl="8">
      <w:start w:val="1"/>
      <w:numFmt w:val="bullet"/>
      <w:lvlText w:val=""/>
      <w:lvlJc w:val="start"/>
      <w:pPr>
        <w:tabs>
          <w:tab w:val="num" w:pos="6840"/>
        </w:tabs>
        <w:ind w:start="6840" w:hanging="360"/>
      </w:pPr>
      <w:rPr>
        <w:rFonts w:ascii="Wingdings" w:hAnsi="Wingdings" w:cs="Wingdings" w:hint="default"/>
      </w:rPr>
    </w:lvl>
  </w:abstractNum>
  <w:abstractNum w:abstractNumId="11">
    <w:lvl w:ilvl="0">
      <w:start w:val="1"/>
      <w:numFmt w:val="bullet"/>
      <w:lvlText w:val=""/>
      <w:lvlJc w:val="start"/>
      <w:pPr>
        <w:tabs>
          <w:tab w:val="num" w:pos="1080"/>
        </w:tabs>
        <w:ind w:start="1080" w:hanging="360"/>
      </w:pPr>
      <w:rPr>
        <w:rFonts w:ascii="Symbol" w:hAnsi="Symbol" w:cs="Symbol" w:hint="default"/>
      </w:rPr>
    </w:lvl>
    <w:lvl w:ilvl="1">
      <w:start w:val="1"/>
      <w:numFmt w:val="bullet"/>
      <w:lvlText w:val="o"/>
      <w:lvlJc w:val="start"/>
      <w:pPr>
        <w:tabs>
          <w:tab w:val="num" w:pos="1800"/>
        </w:tabs>
        <w:ind w:start="1800" w:hanging="360"/>
      </w:pPr>
      <w:rPr>
        <w:rFonts w:ascii="Courier New" w:hAnsi="Courier New" w:cs="Courier New" w:hint="default"/>
      </w:rPr>
    </w:lvl>
    <w:lvl w:ilvl="2">
      <w:start w:val="1"/>
      <w:numFmt w:val="bullet"/>
      <w:lvlText w:val=""/>
      <w:lvlJc w:val="start"/>
      <w:pPr>
        <w:tabs>
          <w:tab w:val="num" w:pos="2520"/>
        </w:tabs>
        <w:ind w:start="2520" w:hanging="360"/>
      </w:pPr>
      <w:rPr>
        <w:rFonts w:ascii="Wingdings" w:hAnsi="Wingdings" w:cs="Wingdings" w:hint="default"/>
      </w:rPr>
    </w:lvl>
    <w:lvl w:ilvl="3">
      <w:start w:val="1"/>
      <w:numFmt w:val="bullet"/>
      <w:lvlText w:val=""/>
      <w:lvlJc w:val="start"/>
      <w:pPr>
        <w:tabs>
          <w:tab w:val="num" w:pos="3240"/>
        </w:tabs>
        <w:ind w:start="3240" w:hanging="360"/>
      </w:pPr>
      <w:rPr>
        <w:rFonts w:ascii="Symbol" w:hAnsi="Symbol" w:cs="Symbol" w:hint="default"/>
      </w:rPr>
    </w:lvl>
    <w:lvl w:ilvl="4">
      <w:start w:val="1"/>
      <w:numFmt w:val="bullet"/>
      <w:lvlText w:val="o"/>
      <w:lvlJc w:val="start"/>
      <w:pPr>
        <w:tabs>
          <w:tab w:val="num" w:pos="3960"/>
        </w:tabs>
        <w:ind w:start="3960" w:hanging="360"/>
      </w:pPr>
      <w:rPr>
        <w:rFonts w:ascii="Courier New" w:hAnsi="Courier New" w:cs="Courier New" w:hint="default"/>
      </w:rPr>
    </w:lvl>
    <w:lvl w:ilvl="5">
      <w:start w:val="1"/>
      <w:numFmt w:val="bullet"/>
      <w:lvlText w:val=""/>
      <w:lvlJc w:val="start"/>
      <w:pPr>
        <w:tabs>
          <w:tab w:val="num" w:pos="4680"/>
        </w:tabs>
        <w:ind w:start="4680" w:hanging="360"/>
      </w:pPr>
      <w:rPr>
        <w:rFonts w:ascii="Wingdings" w:hAnsi="Wingdings" w:cs="Wingdings" w:hint="default"/>
      </w:rPr>
    </w:lvl>
    <w:lvl w:ilvl="6">
      <w:start w:val="1"/>
      <w:numFmt w:val="bullet"/>
      <w:lvlText w:val=""/>
      <w:lvlJc w:val="start"/>
      <w:pPr>
        <w:tabs>
          <w:tab w:val="num" w:pos="5400"/>
        </w:tabs>
        <w:ind w:start="5400" w:hanging="360"/>
      </w:pPr>
      <w:rPr>
        <w:rFonts w:ascii="Symbol" w:hAnsi="Symbol" w:cs="Symbol" w:hint="default"/>
      </w:rPr>
    </w:lvl>
    <w:lvl w:ilvl="7">
      <w:start w:val="1"/>
      <w:numFmt w:val="bullet"/>
      <w:lvlText w:val="o"/>
      <w:lvlJc w:val="start"/>
      <w:pPr>
        <w:tabs>
          <w:tab w:val="num" w:pos="6120"/>
        </w:tabs>
        <w:ind w:start="6120" w:hanging="360"/>
      </w:pPr>
      <w:rPr>
        <w:rFonts w:ascii="Courier New" w:hAnsi="Courier New" w:cs="Courier New" w:hint="default"/>
      </w:rPr>
    </w:lvl>
    <w:lvl w:ilvl="8">
      <w:start w:val="1"/>
      <w:numFmt w:val="bullet"/>
      <w:lvlText w:val=""/>
      <w:lvlJc w:val="start"/>
      <w:pPr>
        <w:tabs>
          <w:tab w:val="num" w:pos="6840"/>
        </w:tabs>
        <w:ind w:start="6840" w:hanging="360"/>
      </w:pPr>
      <w:rPr>
        <w:rFonts w:ascii="Wingdings" w:hAnsi="Wingdings" w:cs="Wingdings" w:hint="default"/>
      </w:rPr>
    </w:lvl>
  </w:abstractNum>
  <w:abstractNum w:abstractNumId="12">
    <w:lvl w:ilvl="0">
      <w:numFmt w:val="bullet"/>
      <w:lvlText w:val=""/>
      <w:lvlJc w:val="start"/>
      <w:pPr>
        <w:tabs>
          <w:tab w:val="num" w:pos="1418"/>
        </w:tabs>
        <w:ind w:start="1418" w:hanging="378"/>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1080" w:hanging="360"/>
      </w:pPr>
      <w:rPr>
        <w:rFonts w:ascii="Symbol" w:hAnsi="Symbol" w:cs="Symbol" w:hint="default"/>
      </w:rPr>
    </w:lvl>
    <w:lvl w:ilvl="1">
      <w:start w:val="1"/>
      <w:numFmt w:val="bullet"/>
      <w:lvlText w:val="o"/>
      <w:lvlJc w:val="start"/>
      <w:pPr>
        <w:tabs>
          <w:tab w:val="num" w:pos="0"/>
        </w:tabs>
        <w:ind w:start="1800" w:hanging="360"/>
      </w:pPr>
      <w:rPr>
        <w:rFonts w:ascii="Courier New" w:hAnsi="Courier New" w:cs="Courier New" w:hint="default"/>
      </w:rPr>
    </w:lvl>
    <w:lvl w:ilvl="2">
      <w:start w:val="1"/>
      <w:numFmt w:val="bullet"/>
      <w:lvlText w:val=""/>
      <w:lvlJc w:val="start"/>
      <w:pPr>
        <w:tabs>
          <w:tab w:val="num" w:pos="0"/>
        </w:tabs>
        <w:ind w:start="2520" w:hanging="360"/>
      </w:pPr>
      <w:rPr>
        <w:rFonts w:ascii="Wingdings" w:hAnsi="Wingdings" w:cs="Wingdings" w:hint="default"/>
      </w:rPr>
    </w:lvl>
    <w:lvl w:ilvl="3">
      <w:start w:val="1"/>
      <w:numFmt w:val="bullet"/>
      <w:lvlText w:val=""/>
      <w:lvlJc w:val="start"/>
      <w:pPr>
        <w:tabs>
          <w:tab w:val="num" w:pos="0"/>
        </w:tabs>
        <w:ind w:start="3240" w:hanging="360"/>
      </w:pPr>
      <w:rPr>
        <w:rFonts w:ascii="Symbol" w:hAnsi="Symbol" w:cs="Symbol" w:hint="default"/>
      </w:rPr>
    </w:lvl>
    <w:lvl w:ilvl="4">
      <w:start w:val="1"/>
      <w:numFmt w:val="bullet"/>
      <w:lvlText w:val="o"/>
      <w:lvlJc w:val="start"/>
      <w:pPr>
        <w:tabs>
          <w:tab w:val="num" w:pos="0"/>
        </w:tabs>
        <w:ind w:start="3960" w:hanging="360"/>
      </w:pPr>
      <w:rPr>
        <w:rFonts w:ascii="Courier New" w:hAnsi="Courier New" w:cs="Courier New" w:hint="default"/>
      </w:rPr>
    </w:lvl>
    <w:lvl w:ilvl="5">
      <w:start w:val="1"/>
      <w:numFmt w:val="bullet"/>
      <w:lvlText w:val=""/>
      <w:lvlJc w:val="start"/>
      <w:pPr>
        <w:tabs>
          <w:tab w:val="num" w:pos="0"/>
        </w:tabs>
        <w:ind w:start="4680" w:hanging="360"/>
      </w:pPr>
      <w:rPr>
        <w:rFonts w:ascii="Wingdings" w:hAnsi="Wingdings" w:cs="Wingdings" w:hint="default"/>
      </w:rPr>
    </w:lvl>
    <w:lvl w:ilvl="6">
      <w:start w:val="1"/>
      <w:numFmt w:val="bullet"/>
      <w:lvlText w:val=""/>
      <w:lvlJc w:val="start"/>
      <w:pPr>
        <w:tabs>
          <w:tab w:val="num" w:pos="0"/>
        </w:tabs>
        <w:ind w:start="5400" w:hanging="360"/>
      </w:pPr>
      <w:rPr>
        <w:rFonts w:ascii="Symbol" w:hAnsi="Symbol" w:cs="Symbol" w:hint="default"/>
      </w:rPr>
    </w:lvl>
    <w:lvl w:ilvl="7">
      <w:start w:val="1"/>
      <w:numFmt w:val="bullet"/>
      <w:lvlText w:val="o"/>
      <w:lvlJc w:val="start"/>
      <w:pPr>
        <w:tabs>
          <w:tab w:val="num" w:pos="0"/>
        </w:tabs>
        <w:ind w:start="6120" w:hanging="360"/>
      </w:pPr>
      <w:rPr>
        <w:rFonts w:ascii="Courier New" w:hAnsi="Courier New" w:cs="Courier New" w:hint="default"/>
      </w:rPr>
    </w:lvl>
    <w:lvl w:ilvl="8">
      <w:start w:val="1"/>
      <w:numFmt w:val="bullet"/>
      <w:lvlText w:val=""/>
      <w:lvlJc w:val="start"/>
      <w:pPr>
        <w:tabs>
          <w:tab w:val="num" w:pos="0"/>
        </w:tabs>
        <w:ind w:start="6840" w:hanging="360"/>
      </w:pPr>
      <w:rPr>
        <w:rFonts w:ascii="Wingdings" w:hAnsi="Wingdings" w:cs="Wingdings" w:hint="default"/>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07a4"/>
    <w:pPr>
      <w:widowControl/>
      <w:bidi w:val="0"/>
      <w:spacing w:lineRule="auto" w:line="240" w:before="0" w:after="0"/>
      <w:jc w:val="start"/>
    </w:pPr>
    <w:rPr>
      <w:rFonts w:ascii="Times New Roman" w:hAnsi="Times New Roman" w:eastAsia="Times New Roman" w:cs="Times New Roman"/>
      <w:color w:val="auto"/>
      <w:kern w:val="0"/>
      <w:sz w:val="24"/>
      <w:szCs w:val="24"/>
      <w:lang w:val="en-GB" w:eastAsia="en-US" w:bidi="ar-SA"/>
      <w14:ligatures w14:val="none"/>
    </w:rPr>
  </w:style>
  <w:style w:type="paragraph" w:styleId="Heading1">
    <w:name w:val="heading 1"/>
    <w:basedOn w:val="Normal"/>
    <w:next w:val="Normal"/>
    <w:link w:val="Heading1Char"/>
    <w:uiPriority w:val="9"/>
    <w:qFormat/>
    <w:rsid w:val="003607a4"/>
    <w:pPr>
      <w:keepNext w:val="true"/>
      <w:keepLines/>
      <w:spacing w:before="360" w:after="80"/>
      <w:outlineLvl w:val="0"/>
    </w:pPr>
    <w:rPr>
      <w:rFonts w:ascii="Calibri Light" w:hAnsi="Calibri Light" w:eastAsia="游ゴシック Light"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3607a4"/>
    <w:pPr>
      <w:keepNext w:val="true"/>
      <w:keepLines/>
      <w:spacing w:before="160" w:after="80"/>
      <w:outlineLvl w:val="1"/>
    </w:pPr>
    <w:rPr>
      <w:rFonts w:ascii="Calibri Light" w:hAnsi="Calibri Light" w:eastAsia="游ゴシック Light"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3607a4"/>
    <w:pPr>
      <w:keepNext w:val="true"/>
      <w:keepLines/>
      <w:spacing w:before="160" w:after="80"/>
      <w:outlineLvl w:val="2"/>
    </w:pPr>
    <w:rPr>
      <w:rFonts w:eastAsia="游ゴシック Light"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3607a4"/>
    <w:pPr>
      <w:keepNext w:val="true"/>
      <w:keepLines/>
      <w:spacing w:before="80" w:after="40"/>
      <w:outlineLvl w:val="3"/>
    </w:pPr>
    <w:rPr>
      <w:rFonts w:eastAsia="游ゴシック Light"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3607a4"/>
    <w:pPr>
      <w:keepNext w:val="true"/>
      <w:keepLines/>
      <w:spacing w:before="80" w:after="40"/>
      <w:outlineLvl w:val="4"/>
    </w:pPr>
    <w:rPr>
      <w:rFonts w:eastAsia="游ゴシック Light"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3607a4"/>
    <w:pPr>
      <w:keepNext w:val="true"/>
      <w:keepLines/>
      <w:spacing w:before="40" w:after="0"/>
      <w:outlineLvl w:val="5"/>
    </w:pPr>
    <w:rPr>
      <w:rFonts w:eastAsia="游ゴシック Light"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3607a4"/>
    <w:pPr>
      <w:keepNext w:val="true"/>
      <w:keepLines/>
      <w:spacing w:before="40" w:after="0"/>
      <w:outlineLvl w:val="6"/>
    </w:pPr>
    <w:rPr>
      <w:rFonts w:eastAsia="游ゴシック Light"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3607a4"/>
    <w:pPr>
      <w:keepNext w:val="true"/>
      <w:keepLines/>
      <w:outlineLvl w:val="7"/>
    </w:pPr>
    <w:rPr>
      <w:rFonts w:eastAsia="游ゴシック Light"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3607a4"/>
    <w:pPr>
      <w:keepNext w:val="true"/>
      <w:keepLines/>
      <w:outlineLvl w:val="8"/>
    </w:pPr>
    <w:rPr>
      <w:rFonts w:eastAsia="游ゴシック Light"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3607a4"/>
    <w:rPr>
      <w:rFonts w:ascii="Calibri Light" w:hAnsi="Calibri Light" w:eastAsia="游ゴシック Light"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3607a4"/>
    <w:rPr>
      <w:rFonts w:ascii="Calibri Light" w:hAnsi="Calibri Light" w:eastAsia="游ゴシック Light"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3607a4"/>
    <w:rPr>
      <w:rFonts w:eastAsia="游ゴシック Light"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3607a4"/>
    <w:rPr>
      <w:rFonts w:eastAsia="游ゴシック Light"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3607a4"/>
    <w:rPr>
      <w:rFonts w:eastAsia="游ゴシック Light"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3607a4"/>
    <w:rPr>
      <w:rFonts w:eastAsia="游ゴシック Light"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3607a4"/>
    <w:rPr>
      <w:rFonts w:eastAsia="游ゴシック Light"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3607a4"/>
    <w:rPr>
      <w:rFonts w:eastAsia="游ゴシック Light"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3607a4"/>
    <w:rPr>
      <w:rFonts w:eastAsia="游ゴシック Light" w:cs="" w:cstheme="majorBidi" w:eastAsiaTheme="majorEastAsia"/>
      <w:color w:themeColor="text1" w:themeTint="d8" w:val="272727"/>
    </w:rPr>
  </w:style>
  <w:style w:type="character" w:styleId="TitleChar" w:customStyle="1">
    <w:name w:val="Title Char"/>
    <w:basedOn w:val="DefaultParagraphFont"/>
    <w:link w:val="Title"/>
    <w:uiPriority w:val="10"/>
    <w:qFormat/>
    <w:rsid w:val="003607a4"/>
    <w:rPr>
      <w:rFonts w:ascii="Calibri Light" w:hAnsi="Calibri Light" w:eastAsia="游ゴシック Light"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3607a4"/>
    <w:rPr>
      <w:rFonts w:eastAsia="游ゴシック Light"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3607a4"/>
    <w:rPr>
      <w:i/>
      <w:iCs/>
      <w:color w:themeColor="text1" w:themeTint="bf" w:val="404040"/>
    </w:rPr>
  </w:style>
  <w:style w:type="character" w:styleId="IntenseEmphasis">
    <w:name w:val="Intense Emphasis"/>
    <w:basedOn w:val="DefaultParagraphFont"/>
    <w:uiPriority w:val="21"/>
    <w:qFormat/>
    <w:rsid w:val="003607a4"/>
    <w:rPr>
      <w:i/>
      <w:iCs/>
      <w:color w:themeColor="accent1" w:themeShade="bf" w:val="2F5496"/>
    </w:rPr>
  </w:style>
  <w:style w:type="character" w:styleId="IntenseQuoteChar" w:customStyle="1">
    <w:name w:val="Intense Quote Char"/>
    <w:basedOn w:val="DefaultParagraphFont"/>
    <w:link w:val="IntenseQuote"/>
    <w:uiPriority w:val="30"/>
    <w:qFormat/>
    <w:rsid w:val="003607a4"/>
    <w:rPr>
      <w:i/>
      <w:iCs/>
      <w:color w:themeColor="accent1" w:themeShade="bf" w:val="2F5496"/>
    </w:rPr>
  </w:style>
  <w:style w:type="character" w:styleId="IntenseReference">
    <w:name w:val="Intense Reference"/>
    <w:basedOn w:val="DefaultParagraphFont"/>
    <w:uiPriority w:val="32"/>
    <w:qFormat/>
    <w:rsid w:val="003607a4"/>
    <w:rPr>
      <w:b/>
      <w:bCs/>
      <w:smallCaps/>
      <w:color w:themeColor="accent1" w:themeShade="bf" w:val="2F5496"/>
      <w:spacing w:val="5"/>
    </w:rPr>
  </w:style>
  <w:style w:type="character" w:styleId="HeaderChar" w:customStyle="1">
    <w:name w:val="Header Char"/>
    <w:basedOn w:val="DefaultParagraphFont"/>
    <w:link w:val="Header"/>
    <w:uiPriority w:val="99"/>
    <w:qFormat/>
    <w:rsid w:val="003607a4"/>
    <w:rPr>
      <w:rFonts w:ascii="Times New Roman" w:hAnsi="Times New Roman" w:eastAsia="Times New Roman" w:cs="Times New Roman"/>
      <w:kern w:val="0"/>
      <w14:ligatures w14:val="none"/>
    </w:rPr>
  </w:style>
  <w:style w:type="character" w:styleId="FooterChar" w:customStyle="1">
    <w:name w:val="Footer Char"/>
    <w:basedOn w:val="DefaultParagraphFont"/>
    <w:link w:val="Footer"/>
    <w:uiPriority w:val="99"/>
    <w:qFormat/>
    <w:rsid w:val="003607a4"/>
    <w:rPr>
      <w:rFonts w:ascii="Times New Roman" w:hAnsi="Times New Roman" w:eastAsia="Times New Roman" w:cs="Times New Roman"/>
      <w:kern w:val="0"/>
      <w14:ligatures w14:val="none"/>
    </w:rPr>
  </w:style>
  <w:style w:type="character" w:styleId="Hyperlink">
    <w:name w:val="Hyperlink"/>
    <w:basedOn w:val="DefaultParagraphFont"/>
    <w:uiPriority w:val="99"/>
    <w:rsid w:val="003607a4"/>
    <w:rPr>
      <w:rFonts w:cs="Times New Roman"/>
      <w:color w:val="0000FF"/>
      <w:u w:val="single"/>
    </w:rPr>
  </w:style>
  <w:style w:type="character" w:styleId="main1" w:customStyle="1">
    <w:name w:val="main1"/>
    <w:qFormat/>
    <w:rsid w:val="003607a4"/>
    <w:rPr>
      <w:rFonts w:ascii="Arial" w:hAnsi="Arial" w:cs="Arial"/>
      <w:b w:val="false"/>
      <w:bCs w:val="false"/>
      <w:i w:val="false"/>
      <w:iCs w:val="false"/>
      <w:strike w:val="false"/>
      <w:dstrike w:val="false"/>
      <w:color w:val="000000"/>
      <w:sz w:val="24"/>
      <w:szCs w:val="24"/>
      <w:u w:val="none"/>
      <w:effect w:val="none"/>
    </w:rPr>
  </w:style>
  <w:style w:type="character" w:styleId="BodyTextChar" w:customStyle="1">
    <w:name w:val="Body Text Char"/>
    <w:basedOn w:val="DefaultParagraphFont"/>
    <w:qFormat/>
    <w:rsid w:val="003607a4"/>
    <w:rPr>
      <w:rFonts w:ascii="Arial" w:hAnsi="Arial" w:eastAsia="Times New Roman" w:cs="Times New Roman"/>
      <w:kern w:val="0"/>
      <w:sz w:val="22"/>
      <w:lang w:val="en-US"/>
      <w14:ligatures w14:val="none"/>
    </w:rPr>
  </w:style>
  <w:style w:type="character" w:styleId="Emphasis">
    <w:name w:val="Emphasis"/>
    <w:uiPriority w:val="20"/>
    <w:qFormat/>
    <w:rsid w:val="003607a4"/>
    <w:rPr>
      <w:i/>
      <w:iCs/>
    </w:rPr>
  </w:style>
  <w:style w:type="character" w:styleId="UnresolvedMention">
    <w:name w:val="Unresolved Mention"/>
    <w:basedOn w:val="DefaultParagraphFont"/>
    <w:uiPriority w:val="99"/>
    <w:semiHidden/>
    <w:unhideWhenUsed/>
    <w:qFormat/>
    <w:rsid w:val="00544afb"/>
    <w:rPr>
      <w:color w:val="605E5C"/>
      <w:shd w:fill="E1DFDD" w:val="clear"/>
    </w:rPr>
  </w:style>
  <w:style w:type="character" w:styleId="CommentReference">
    <w:name w:val="annotation reference"/>
    <w:basedOn w:val="DefaultParagraphFont"/>
    <w:uiPriority w:val="99"/>
    <w:semiHidden/>
    <w:unhideWhenUsed/>
    <w:qFormat/>
    <w:rsid w:val="00c62724"/>
    <w:rPr>
      <w:sz w:val="16"/>
      <w:szCs w:val="16"/>
    </w:rPr>
  </w:style>
  <w:style w:type="character" w:styleId="CommentTextChar" w:customStyle="1">
    <w:name w:val="Comment Text Char"/>
    <w:basedOn w:val="DefaultParagraphFont"/>
    <w:link w:val="CommentText"/>
    <w:uiPriority w:val="99"/>
    <w:qFormat/>
    <w:rsid w:val="00c62724"/>
    <w:rPr>
      <w:rFonts w:ascii="Times New Roman" w:hAnsi="Times New Roman" w:eastAsia="Times New Roman" w:cs="Times New Roman"/>
      <w:kern w:val="0"/>
      <w:sz w:val="20"/>
      <w:szCs w:val="20"/>
      <w14:ligatures w14:val="none"/>
    </w:rPr>
  </w:style>
  <w:style w:type="character" w:styleId="CommentSubjectChar" w:customStyle="1">
    <w:name w:val="Comment Subject Char"/>
    <w:basedOn w:val="CommentTextChar"/>
    <w:link w:val="annotationsubject"/>
    <w:uiPriority w:val="99"/>
    <w:semiHidden/>
    <w:qFormat/>
    <w:rsid w:val="00c62724"/>
    <w:rPr>
      <w:rFonts w:ascii="Times New Roman" w:hAnsi="Times New Roman" w:eastAsia="Times New Roman" w:cs="Times New Roman"/>
      <w:b/>
      <w:bCs/>
      <w:kern w:val="0"/>
      <w:sz w:val="20"/>
      <w:szCs w:val="20"/>
      <w14:ligatures w14:val="none"/>
    </w:rPr>
  </w:style>
  <w:style w:type="character" w:styleId="FollowedHyperlink">
    <w:name w:val="FollowedHyperlink"/>
    <w:basedOn w:val="DefaultParagraphFont"/>
    <w:uiPriority w:val="99"/>
    <w:semiHidden/>
    <w:unhideWhenUsed/>
    <w:rsid w:val="00f70e15"/>
    <w:rPr>
      <w:color w:themeColor="followedHyperlink" w:val="954F72"/>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3607a4"/>
    <w:pPr/>
    <w:rPr>
      <w:rFonts w:ascii="Arial" w:hAnsi="Arial"/>
      <w:sz w:val="22"/>
      <w:lang w:val="en-US"/>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3607a4"/>
    <w:pPr>
      <w:spacing w:before="0" w:after="80"/>
      <w:contextualSpacing/>
    </w:pPr>
    <w:rPr>
      <w:rFonts w:ascii="Calibri Light" w:hAnsi="Calibri Light" w:eastAsia="游ゴシック Light"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3607a4"/>
    <w:pPr/>
    <w:rPr>
      <w:rFonts w:eastAsia="游ゴシック Light"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3607a4"/>
    <w:pPr>
      <w:spacing w:before="160" w:after="0"/>
      <w:jc w:val="center"/>
    </w:pPr>
    <w:rPr>
      <w:i/>
      <w:iCs/>
      <w:color w:themeColor="text1" w:themeTint="bf" w:val="404040"/>
    </w:rPr>
  </w:style>
  <w:style w:type="paragraph" w:styleId="ListParagraph">
    <w:name w:val="List Paragraph"/>
    <w:basedOn w:val="Normal"/>
    <w:uiPriority w:val="34"/>
    <w:qFormat/>
    <w:rsid w:val="003607a4"/>
    <w:pPr>
      <w:spacing w:before="0" w:after="0"/>
      <w:ind w:start="720"/>
      <w:contextualSpacing/>
    </w:pPr>
    <w:rPr/>
  </w:style>
  <w:style w:type="paragraph" w:styleId="IntenseQuote">
    <w:name w:val="Intense Quote"/>
    <w:basedOn w:val="Normal"/>
    <w:next w:val="Normal"/>
    <w:link w:val="IntenseQuoteChar"/>
    <w:uiPriority w:val="30"/>
    <w:qFormat/>
    <w:rsid w:val="003607a4"/>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NormalWeb">
    <w:name w:val="Normal (Web)"/>
    <w:basedOn w:val="Normal"/>
    <w:uiPriority w:val="99"/>
    <w:qFormat/>
    <w:rsid w:val="003607a4"/>
    <w:pPr>
      <w:spacing w:beforeAutospacing="1" w:afterAutospacing="1"/>
    </w:pPr>
    <w:rPr/>
  </w:style>
  <w:style w:type="paragraph" w:styleId="HeaderandFooter">
    <w:name w:val="Header and Footer"/>
    <w:basedOn w:val="Normal"/>
    <w:qFormat/>
    <w:pPr/>
    <w:rPr/>
  </w:style>
  <w:style w:type="paragraph" w:styleId="Header">
    <w:name w:val="header"/>
    <w:basedOn w:val="Normal"/>
    <w:link w:val="HeaderChar"/>
    <w:uiPriority w:val="99"/>
    <w:rsid w:val="003607a4"/>
    <w:pPr>
      <w:tabs>
        <w:tab w:val="clear" w:pos="720"/>
        <w:tab w:val="center" w:pos="4153" w:leader="none"/>
        <w:tab w:val="right" w:pos="8306" w:leader="none"/>
      </w:tabs>
    </w:pPr>
    <w:rPr/>
  </w:style>
  <w:style w:type="paragraph" w:styleId="Footer">
    <w:name w:val="footer"/>
    <w:basedOn w:val="Normal"/>
    <w:link w:val="FooterChar"/>
    <w:uiPriority w:val="99"/>
    <w:rsid w:val="003607a4"/>
    <w:pPr>
      <w:tabs>
        <w:tab w:val="clear" w:pos="720"/>
        <w:tab w:val="center" w:pos="4153" w:leader="none"/>
        <w:tab w:val="right" w:pos="8306" w:leader="none"/>
      </w:tabs>
    </w:pPr>
    <w:rPr/>
  </w:style>
  <w:style w:type="paragraph" w:styleId="ColorfulList-Accent11" w:customStyle="1">
    <w:name w:val="Colorful List - Accent 11"/>
    <w:basedOn w:val="Normal"/>
    <w:uiPriority w:val="34"/>
    <w:qFormat/>
    <w:rsid w:val="003607a4"/>
    <w:pPr>
      <w:spacing w:lineRule="auto" w:line="276" w:before="0" w:after="200"/>
      <w:ind w:start="720"/>
      <w:contextualSpacing/>
    </w:pPr>
    <w:rPr>
      <w:rFonts w:ascii="Calibri" w:hAnsi="Calibri" w:eastAsia="Calibri"/>
      <w:sz w:val="22"/>
      <w:szCs w:val="22"/>
    </w:rPr>
  </w:style>
  <w:style w:type="paragraph" w:styleId="Paragraph" w:customStyle="1">
    <w:name w:val="Paragraph"/>
    <w:basedOn w:val="Normal"/>
    <w:qFormat/>
    <w:rsid w:val="003607a4"/>
    <w:pPr>
      <w:spacing w:before="120" w:after="120"/>
      <w:jc w:val="both"/>
    </w:pPr>
    <w:rPr>
      <w:sz w:val="22"/>
      <w:szCs w:val="22"/>
      <w:lang w:val="en-US"/>
    </w:rPr>
  </w:style>
  <w:style w:type="paragraph" w:styleId="ListBullet">
    <w:name w:val="List Bullet"/>
    <w:basedOn w:val="Normal"/>
    <w:autoRedefine/>
    <w:rsid w:val="003607a4"/>
    <w:pPr>
      <w:spacing w:before="240" w:after="240"/>
    </w:pPr>
    <w:rPr>
      <w:rFonts w:ascii="Arial" w:hAnsi="Arial"/>
      <w:b/>
      <w:bCs/>
      <w:lang w:val="en-US"/>
    </w:rPr>
  </w:style>
  <w:style w:type="paragraph" w:styleId="aaa2" w:customStyle="1">
    <w:name w:val="aaa2"/>
    <w:basedOn w:val="Normal"/>
    <w:next w:val="Paragraph"/>
    <w:qFormat/>
    <w:rsid w:val="003607a4"/>
    <w:pPr/>
    <w:rPr>
      <w:b/>
      <w:bCs/>
      <w:sz w:val="22"/>
      <w:szCs w:val="22"/>
      <w:lang w:val="en-US"/>
    </w:rPr>
  </w:style>
  <w:style w:type="paragraph" w:styleId="CommentText">
    <w:name w:val="annotation text"/>
    <w:basedOn w:val="Normal"/>
    <w:link w:val="CommentTextChar"/>
    <w:uiPriority w:val="99"/>
    <w:unhideWhenUsed/>
    <w:rsid w:val="00c62724"/>
    <w:pPr/>
    <w:rPr>
      <w:sz w:val="20"/>
      <w:szCs w:val="20"/>
    </w:rPr>
  </w:style>
  <w:style w:type="paragraph" w:styleId="annotationsubject">
    <w:name w:val="annotation subject"/>
    <w:basedOn w:val="CommentText"/>
    <w:next w:val="CommentText"/>
    <w:link w:val="CommentSubjectChar"/>
    <w:uiPriority w:val="99"/>
    <w:semiHidden/>
    <w:unhideWhenUsed/>
    <w:qFormat/>
    <w:rsid w:val="00c62724"/>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ataprotection@thefancharity.org" TargetMode="External"/><Relationship Id="rId4" Type="http://schemas.openxmlformats.org/officeDocument/2006/relationships/hyperlink" Target="https://ico.org.uk/" TargetMode="External"/><Relationship Id="rId5" Type="http://schemas.openxmlformats.org/officeDocument/2006/relationships/hyperlink" Target="mailto:dataprotection@thefancharity.org" TargetMode="External"/><Relationship Id="rId6" Type="http://schemas.openxmlformats.org/officeDocument/2006/relationships/hyperlink" Target="https://www.thefancharity.org/governance/" TargetMode="External"/><Relationship Id="rId7" Type="http://schemas.openxmlformats.org/officeDocument/2006/relationships/hyperlink" Target="https://cfg.org.uk/membership/charity_membership/charity_finance_for_small_charities_guides/gdpr_guide_for_small_charities" TargetMode="External"/><Relationship Id="rId8" Type="http://schemas.openxmlformats.org/officeDocument/2006/relationships/hyperlink" Target="https://ico.org.uk/" TargetMode="External"/><Relationship Id="rId9" Type="http://schemas.openxmlformats.org/officeDocument/2006/relationships/hyperlink" Target="https://www.legislation.gov.uk/ukpga/2018/12/contents" TargetMode="External"/><Relationship Id="rId10" Type="http://schemas.openxmlformats.org/officeDocument/2006/relationships/hyperlink" Target="https://ico.org.uk/about-the-ico/what-we-do/legislation-we-cover/general-data-protection-regulation/" TargetMode="External"/><Relationship Id="rId11" Type="http://schemas.openxmlformats.org/officeDocument/2006/relationships/hyperlink" Target="https://ico.org.uk/about-the-ico/what-we-do/legislation-we-cover/data-use-and-access-act-2025/" TargetMode="External"/><Relationship Id="rId12" Type="http://schemas.openxmlformats.org/officeDocument/2006/relationships/hyperlink" Target="https://ico.org.uk/for-organisations/advice-for-small-organisations/" TargetMode="External"/><Relationship Id="rId13" Type="http://schemas.openxmlformats.org/officeDocument/2006/relationships/image" Target="media/image2.jpe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LibreOffice/26.2.5.2$Windows_X86_64 LibreOffice_project/cd7284b4cbbfeb507e630c1aac019f4157393acb</Application>
  <AppVersion>15.0000</AppVersion>
  <Pages>7</Pages>
  <Words>2352</Words>
  <Characters>12645</Characters>
  <CharactersWithSpaces>14876</CharactersWithSpaces>
  <Paragraphs>162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2026-07-12T18:22:00Z</dcterms:created>
  <dc:creator>Jane Tooby</dc:creator>
  <dc:description/>
  <dc:language>en-GB</dc:language>
  <cp:lastModifiedBy>Ian Thomson</cp:lastModifiedBy>
  <dcterms:modified xsi:type="dcterms:W3CDTF">2026-07-12T18:56:00Z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